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D5" w:rsidRPr="006E611C" w:rsidRDefault="00643BD5" w:rsidP="00B06737">
      <w:pPr>
        <w:jc w:val="both"/>
        <w:rPr>
          <w:b/>
          <w:bCs/>
          <w:sz w:val="22"/>
          <w:szCs w:val="22"/>
        </w:rPr>
      </w:pPr>
      <w:r w:rsidRPr="006E611C">
        <w:rPr>
          <w:b/>
          <w:bCs/>
          <w:sz w:val="22"/>
          <w:szCs w:val="22"/>
        </w:rPr>
        <w:t xml:space="preserve">PART A: EXPLANATORY NOTES AS PER </w:t>
      </w:r>
      <w:r w:rsidR="00601394">
        <w:rPr>
          <w:b/>
          <w:bCs/>
          <w:sz w:val="22"/>
          <w:szCs w:val="22"/>
        </w:rPr>
        <w:t>M</w:t>
      </w:r>
      <w:r w:rsidRPr="006E611C">
        <w:rPr>
          <w:b/>
          <w:bCs/>
          <w:sz w:val="22"/>
          <w:szCs w:val="22"/>
        </w:rPr>
        <w:t>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w:t>
      </w:r>
      <w:proofErr w:type="gramStart"/>
      <w:r w:rsidRPr="006E611C">
        <w:rPr>
          <w:sz w:val="22"/>
          <w:szCs w:val="22"/>
        </w:rPr>
        <w:t>A</w:t>
      </w:r>
      <w:proofErr w:type="gramEnd"/>
      <w:r w:rsidRPr="006E611C">
        <w:rPr>
          <w:sz w:val="22"/>
          <w:szCs w:val="22"/>
        </w:rPr>
        <w:t xml:space="preserve"> of Appendix 9B of the Listing Requirements of Bursa Malaysia Securities Berhad ("Bursa Securities"). </w:t>
      </w:r>
    </w:p>
    <w:p w:rsidR="00643BD5" w:rsidRPr="006E611C" w:rsidRDefault="00643BD5" w:rsidP="008A18FC">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2012. The explanatory notes attached to the interim financial statements provide an explanation of events and transactions that are significant to an understanding of the changes in the financial position and performance of the Group.</w:t>
      </w:r>
    </w:p>
    <w:p w:rsidR="00667E29" w:rsidRPr="00667E29" w:rsidRDefault="00667E29" w:rsidP="00667E29">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 xml:space="preserve">The accounting principles and bases used are consistent with those previously adopted in the preparation of the financial statements of CSC Steel Holdings </w:t>
      </w:r>
      <w:proofErr w:type="spellStart"/>
      <w:r w:rsidRPr="00667E29">
        <w:rPr>
          <w:sz w:val="22"/>
          <w:szCs w:val="22"/>
        </w:rPr>
        <w:t>Berhad</w:t>
      </w:r>
      <w:proofErr w:type="spellEnd"/>
      <w:r w:rsidRPr="00667E29">
        <w:rPr>
          <w:sz w:val="22"/>
          <w:szCs w:val="22"/>
        </w:rPr>
        <w:t xml:space="preserve"> (“CHB”), and its subsidiary companies (“Group”) except during the financial period, the Group has adopted the following applicable new and revised Malaysia Financial Reporting Standards (“MFRSs”) issued by the Malaysian Accounting Standards Board that are mandatory for the current financial period:-</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101 Presentation of Financial Statements (Amendments relating to Presentation of Items of Other Comprehensive Income)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7 Financial Instruments: Disclosures [Amendments relating to Mandatory Effective Date of MFRS 9 and Transition Disclosures (IFRS 9 issued by IASB in November 2009 and October 2010 respectively)]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7 Financial Instruments: Disclosures (Amendments relating to Disclosures - Offsetting Financial Assets and Liabilities)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10 Consolidated Financial Statements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MFRS 10 Consolidated Financial Statements (Amendments relating to Transition Guidance)</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13 Fair Value Measurement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Amendments to MFRSs contained in the document entitled Annual Improvements 2009-2011 cycle</w:t>
      </w:r>
    </w:p>
    <w:p w:rsidR="00667E29" w:rsidRPr="00667E29" w:rsidRDefault="00667E29" w:rsidP="00667E29">
      <w:pPr>
        <w:ind w:left="1080"/>
        <w:jc w:val="both"/>
        <w:rPr>
          <w:sz w:val="22"/>
          <w:szCs w:val="22"/>
          <w:lang w:val="ms-MY"/>
        </w:rPr>
      </w:pPr>
    </w:p>
    <w:p w:rsidR="00667E29" w:rsidRPr="00667E29" w:rsidRDefault="00667E29" w:rsidP="00667E29">
      <w:pPr>
        <w:pStyle w:val="BodyTextIndent"/>
        <w:ind w:left="1080"/>
        <w:jc w:val="both"/>
        <w:rPr>
          <w:sz w:val="22"/>
          <w:szCs w:val="22"/>
        </w:rPr>
      </w:pPr>
      <w:r w:rsidRPr="00667E29">
        <w:rPr>
          <w:sz w:val="22"/>
          <w:szCs w:val="22"/>
        </w:rPr>
        <w:t xml:space="preserve">The adoption of the above new and revised MFRSs does not have significant financial impact on the interim financial statements of CHB and the Group. </w:t>
      </w:r>
    </w:p>
    <w:p w:rsidR="00667E29" w:rsidRPr="00667E29" w:rsidRDefault="00667E29" w:rsidP="00667E29">
      <w:pPr>
        <w:pStyle w:val="Default"/>
        <w:jc w:val="both"/>
        <w:rPr>
          <w:rFonts w:ascii="Times New Roman" w:hAnsi="Times New Roman" w:cs="Times New Roman"/>
          <w:sz w:val="22"/>
          <w:szCs w:val="22"/>
        </w:rPr>
      </w:pPr>
    </w:p>
    <w:p w:rsidR="00667E29" w:rsidRPr="00667E29" w:rsidRDefault="00667E29" w:rsidP="00667E29">
      <w:pPr>
        <w:pStyle w:val="Default"/>
        <w:ind w:left="1080"/>
        <w:jc w:val="both"/>
        <w:rPr>
          <w:rFonts w:ascii="Times New Roman" w:hAnsi="Times New Roman" w:cs="Times New Roman"/>
          <w:sz w:val="22"/>
          <w:szCs w:val="22"/>
        </w:rPr>
      </w:pPr>
      <w:r w:rsidRPr="00667E29">
        <w:rPr>
          <w:rFonts w:ascii="Times New Roman" w:hAnsi="Times New Roman" w:cs="Times New Roman"/>
          <w:sz w:val="22"/>
          <w:szCs w:val="22"/>
        </w:rPr>
        <w:t xml:space="preserve">At the date of authorisation for issue of these interim financial statement, the new and revised Standards which were in issue but not yet effective and not early adopted by CHB and the Group are  listed below: </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9 Financial Instruments (IFRS 9 issued by IASB in October 2009)</w:t>
      </w: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9 Financial Instruments (IFRS 9 issued by IASB in November 2010)</w:t>
      </w: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132 Financial Instruments: Presentation (Amendments relating to Offsetting Financial Assets and Financial Liabilities)</w:t>
      </w:r>
    </w:p>
    <w:p w:rsidR="00667E29" w:rsidRPr="00667E29" w:rsidRDefault="00667E29" w:rsidP="00667E29">
      <w:pPr>
        <w:ind w:left="1080"/>
        <w:jc w:val="both"/>
        <w:rPr>
          <w:sz w:val="22"/>
          <w:szCs w:val="22"/>
        </w:rPr>
      </w:pPr>
    </w:p>
    <w:p w:rsidR="00667E29" w:rsidRPr="00667E29" w:rsidRDefault="00667E29" w:rsidP="00667E29">
      <w:pPr>
        <w:ind w:left="1080"/>
        <w:jc w:val="both"/>
        <w:rPr>
          <w:sz w:val="22"/>
          <w:szCs w:val="22"/>
        </w:rPr>
      </w:pPr>
      <w:r w:rsidRPr="00667E29">
        <w:rPr>
          <w:sz w:val="22"/>
          <w:szCs w:val="22"/>
        </w:rPr>
        <w:t>The directors anticipate that abovementioned Standards will be adopted in the annual financial statements of CHB and the Group when they become effective and that the adoption of these Standards will have no material impact on the financial statements of CHB and the Group in the period of initial application.</w:t>
      </w:r>
    </w:p>
    <w:p w:rsidR="00643BD5" w:rsidRPr="006E611C" w:rsidRDefault="00643BD5" w:rsidP="008A18FC">
      <w:pPr>
        <w:numPr>
          <w:ilvl w:val="0"/>
          <w:numId w:val="1"/>
        </w:numPr>
        <w:jc w:val="both"/>
        <w:rPr>
          <w:b/>
          <w:bCs/>
          <w:sz w:val="22"/>
          <w:szCs w:val="22"/>
        </w:rPr>
      </w:pPr>
      <w:r w:rsidRPr="006E611C">
        <w:rPr>
          <w:b/>
          <w:bCs/>
          <w:sz w:val="22"/>
          <w:szCs w:val="22"/>
        </w:rPr>
        <w:lastRenderedPageBreak/>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w:t>
      </w:r>
      <w:r w:rsidR="006743DF">
        <w:rPr>
          <w:sz w:val="22"/>
          <w:szCs w:val="22"/>
        </w:rPr>
        <w:t>2</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Default="00643BD5" w:rsidP="008A18FC">
      <w:pPr>
        <w:ind w:left="1080"/>
        <w:jc w:val="both"/>
        <w:rPr>
          <w:sz w:val="22"/>
          <w:szCs w:val="22"/>
        </w:rPr>
      </w:pPr>
      <w:r w:rsidRPr="006E611C">
        <w:rPr>
          <w:sz w:val="22"/>
          <w:szCs w:val="22"/>
        </w:rPr>
        <w:t xml:space="preserve">The Group’s business operation results </w:t>
      </w:r>
      <w:r w:rsidR="00161D7E">
        <w:rPr>
          <w:sz w:val="22"/>
          <w:szCs w:val="22"/>
        </w:rPr>
        <w:t>are</w:t>
      </w:r>
      <w:r w:rsidRPr="006E611C">
        <w:rPr>
          <w:sz w:val="22"/>
          <w:szCs w:val="22"/>
        </w:rPr>
        <w:t xml:space="preserve"> not materially affected by any major seasonal or cyclical factors.</w:t>
      </w:r>
    </w:p>
    <w:p w:rsidR="00601394" w:rsidRPr="006E611C" w:rsidRDefault="00601394"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743DF" w:rsidP="008A18FC">
      <w:pPr>
        <w:ind w:left="1080"/>
        <w:jc w:val="both"/>
        <w:rPr>
          <w:b/>
          <w:bCs/>
          <w:sz w:val="22"/>
          <w:szCs w:val="22"/>
        </w:rPr>
      </w:pPr>
      <w:r>
        <w:rPr>
          <w:sz w:val="22"/>
          <w:szCs w:val="22"/>
        </w:rPr>
        <w:t>T</w:t>
      </w:r>
      <w:r w:rsidR="00161D7E">
        <w:rPr>
          <w:sz w:val="22"/>
          <w:szCs w:val="22"/>
        </w:rPr>
        <w:t>here is</w:t>
      </w:r>
      <w:r w:rsidR="00643BD5" w:rsidRPr="006E611C">
        <w:rPr>
          <w:sz w:val="22"/>
          <w:szCs w:val="22"/>
        </w:rPr>
        <w:t xml:space="preserve"> no item of unusual nature and amount</w:t>
      </w:r>
      <w:r w:rsidR="00161D7E">
        <w:rPr>
          <w:sz w:val="22"/>
          <w:szCs w:val="22"/>
        </w:rPr>
        <w:t>s</w:t>
      </w:r>
      <w:r w:rsidR="00643BD5" w:rsidRPr="006E611C">
        <w:rPr>
          <w:sz w:val="22"/>
          <w:szCs w:val="22"/>
        </w:rPr>
        <w:t xml:space="preserve"> affecting assets, liabilities, equity, net income or cash flows.</w:t>
      </w:r>
      <w:r w:rsidR="00643BD5"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161D7E" w:rsidP="00D57ECF">
      <w:pPr>
        <w:ind w:left="1080"/>
        <w:jc w:val="both"/>
        <w:rPr>
          <w:sz w:val="22"/>
          <w:szCs w:val="22"/>
        </w:rPr>
      </w:pPr>
      <w:r>
        <w:rPr>
          <w:sz w:val="22"/>
          <w:szCs w:val="22"/>
        </w:rPr>
        <w:t>There is</w:t>
      </w:r>
      <w:r w:rsidR="00643BD5"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743DF" w:rsidRDefault="00161D7E" w:rsidP="008A18FC">
      <w:pPr>
        <w:pStyle w:val="BodyText"/>
        <w:ind w:left="360" w:firstLine="720"/>
        <w:jc w:val="both"/>
        <w:rPr>
          <w:bCs/>
          <w:i w:val="0"/>
          <w:iCs w:val="0"/>
          <w:sz w:val="22"/>
          <w:szCs w:val="22"/>
        </w:rPr>
      </w:pPr>
      <w:r>
        <w:rPr>
          <w:bCs/>
          <w:i w:val="0"/>
          <w:sz w:val="22"/>
          <w:szCs w:val="22"/>
        </w:rPr>
        <w:t>There is</w:t>
      </w:r>
      <w:r w:rsidR="00643BD5" w:rsidRPr="006E611C">
        <w:rPr>
          <w:bCs/>
          <w:i w:val="0"/>
          <w:sz w:val="22"/>
          <w:szCs w:val="22"/>
        </w:rPr>
        <w:t xml:space="preserve"> no issuance and repayment of debt and equity securities during the quarter under review.</w:t>
      </w:r>
      <w:r w:rsidR="00643BD5" w:rsidRPr="006E611C">
        <w:rPr>
          <w:bCs/>
          <w:i w:val="0"/>
          <w:iCs w:val="0"/>
          <w:sz w:val="22"/>
          <w:szCs w:val="22"/>
        </w:rPr>
        <w:t xml:space="preserve">   </w:t>
      </w:r>
    </w:p>
    <w:p w:rsidR="000976FA" w:rsidRDefault="000976FA" w:rsidP="008A18FC">
      <w:pPr>
        <w:pStyle w:val="BodyText"/>
        <w:ind w:left="360" w:firstLine="720"/>
        <w:jc w:val="both"/>
        <w:rPr>
          <w:bCs/>
          <w:i w:val="0"/>
          <w:iCs w:val="0"/>
          <w:sz w:val="22"/>
          <w:szCs w:val="22"/>
        </w:rPr>
      </w:pPr>
    </w:p>
    <w:p w:rsidR="00643BD5" w:rsidRPr="006E611C" w:rsidRDefault="00643BD5" w:rsidP="008A18FC">
      <w:pPr>
        <w:pStyle w:val="BodyText"/>
        <w:ind w:left="360" w:firstLine="720"/>
        <w:jc w:val="both"/>
        <w:rPr>
          <w:bCs/>
          <w:i w:val="0"/>
          <w:iCs w:val="0"/>
          <w:sz w:val="22"/>
          <w:szCs w:val="22"/>
        </w:rPr>
      </w:pPr>
      <w:r w:rsidRPr="006E611C">
        <w:rPr>
          <w:bCs/>
          <w:i w:val="0"/>
          <w:iCs w:val="0"/>
          <w:sz w:val="22"/>
          <w:szCs w:val="22"/>
        </w:rPr>
        <w:t xml:space="preserve">                                       </w:t>
      </w:r>
    </w:p>
    <w:p w:rsidR="00643BD5" w:rsidRPr="006E611C" w:rsidRDefault="00CD2131" w:rsidP="008A18FC">
      <w:pPr>
        <w:numPr>
          <w:ilvl w:val="0"/>
          <w:numId w:val="2"/>
        </w:numPr>
        <w:jc w:val="both"/>
        <w:rPr>
          <w:b/>
          <w:bCs/>
          <w:sz w:val="22"/>
          <w:szCs w:val="22"/>
        </w:rPr>
      </w:pPr>
      <w:r>
        <w:rPr>
          <w:b/>
          <w:bCs/>
          <w:sz w:val="22"/>
          <w:szCs w:val="22"/>
        </w:rPr>
        <w:t>D</w:t>
      </w:r>
      <w:r w:rsidR="00643BD5" w:rsidRPr="006E611C">
        <w:rPr>
          <w:b/>
          <w:bCs/>
          <w:sz w:val="22"/>
          <w:szCs w:val="22"/>
        </w:rPr>
        <w:t>ividend Paid</w:t>
      </w:r>
      <w:r w:rsidR="00643BD5" w:rsidRPr="006E611C">
        <w:rPr>
          <w:b/>
          <w:bCs/>
          <w:sz w:val="22"/>
          <w:szCs w:val="22"/>
        </w:rPr>
        <w:tab/>
      </w:r>
    </w:p>
    <w:p w:rsidR="00643BD5" w:rsidRPr="006E611C" w:rsidRDefault="00643BD5" w:rsidP="000202BF">
      <w:pPr>
        <w:pStyle w:val="BodyTextIndent"/>
        <w:jc w:val="both"/>
        <w:rPr>
          <w:sz w:val="22"/>
          <w:szCs w:val="22"/>
        </w:rPr>
      </w:pPr>
    </w:p>
    <w:p w:rsidR="00CA7746" w:rsidRDefault="00161D7E" w:rsidP="002C24D4">
      <w:pPr>
        <w:pStyle w:val="BodyTextIndent"/>
        <w:ind w:left="1080"/>
        <w:jc w:val="both"/>
        <w:rPr>
          <w:sz w:val="22"/>
          <w:szCs w:val="22"/>
        </w:rPr>
      </w:pPr>
      <w:r>
        <w:rPr>
          <w:sz w:val="22"/>
          <w:szCs w:val="22"/>
        </w:rPr>
        <w:t>There is</w:t>
      </w:r>
      <w:r w:rsidR="00CA7746">
        <w:rPr>
          <w:sz w:val="22"/>
          <w:szCs w:val="22"/>
        </w:rPr>
        <w:t xml:space="preserve"> no dividend paid during the quarter under review.</w:t>
      </w:r>
    </w:p>
    <w:p w:rsidR="00643BD5" w:rsidRPr="006E611C" w:rsidRDefault="002C24D4" w:rsidP="002C24D4">
      <w:pPr>
        <w:pStyle w:val="BodyTextIndent"/>
        <w:ind w:left="1080"/>
        <w:jc w:val="both"/>
        <w:rPr>
          <w:sz w:val="22"/>
          <w:szCs w:val="22"/>
        </w:rPr>
      </w:pPr>
      <w:r>
        <w:rPr>
          <w:sz w:val="22"/>
          <w:szCs w:val="22"/>
        </w:rPr>
        <w:t xml:space="preserve"> </w:t>
      </w:r>
    </w:p>
    <w:p w:rsidR="00643BD5" w:rsidRPr="006E611C" w:rsidRDefault="00643BD5" w:rsidP="000202BF">
      <w:pPr>
        <w:pStyle w:val="BodyTextIndent"/>
        <w:jc w:val="both"/>
        <w:rPr>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0" w:name="_MON_1396707253"/>
    <w:bookmarkEnd w:id="0"/>
    <w:bookmarkStart w:id="1" w:name="_MON_1396439693"/>
    <w:bookmarkEnd w:id="1"/>
    <w:p w:rsidR="00643BD5" w:rsidRDefault="000976FA" w:rsidP="008A18FC">
      <w:pPr>
        <w:tabs>
          <w:tab w:val="left" w:pos="1080"/>
        </w:tabs>
        <w:ind w:left="1080"/>
        <w:jc w:val="both"/>
        <w:rPr>
          <w:b/>
          <w:bCs/>
          <w:sz w:val="22"/>
          <w:szCs w:val="22"/>
        </w:rPr>
      </w:pPr>
      <w:r w:rsidRPr="006E611C">
        <w:rPr>
          <w:b/>
          <w:bCs/>
          <w:sz w:val="22"/>
          <w:szCs w:val="22"/>
        </w:rPr>
        <w:object w:dxaOrig="8019"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5pt;height:158.25pt" o:ole="" fillcolor="window">
            <v:imagedata r:id="rId7" o:title=""/>
          </v:shape>
          <o:OLEObject Type="Embed" ProgID="Excel.Sheet.8" ShapeID="_x0000_i1025" DrawAspect="Content" ObjectID="_1436944058" r:id="rId8"/>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t>*Steel coils</w:t>
      </w:r>
      <w:r w:rsidRPr="006E611C">
        <w:rPr>
          <w:bCs/>
          <w:sz w:val="22"/>
          <w:szCs w:val="22"/>
        </w:rPr>
        <w:tab/>
        <w:t xml:space="preserve">– cold rolled, </w:t>
      </w:r>
      <w:proofErr w:type="spellStart"/>
      <w:r w:rsidRPr="006E611C">
        <w:rPr>
          <w:bCs/>
          <w:sz w:val="22"/>
          <w:szCs w:val="22"/>
        </w:rPr>
        <w:t>galvani</w:t>
      </w:r>
      <w:r w:rsidR="00ED0FDF">
        <w:rPr>
          <w:bCs/>
          <w:sz w:val="22"/>
          <w:szCs w:val="22"/>
        </w:rPr>
        <w:t>s</w:t>
      </w:r>
      <w:r w:rsidRPr="006E611C">
        <w:rPr>
          <w:bCs/>
          <w:sz w:val="22"/>
          <w:szCs w:val="22"/>
        </w:rPr>
        <w:t>ed</w:t>
      </w:r>
      <w:proofErr w:type="spellEnd"/>
      <w:r w:rsidRPr="006E611C">
        <w:rPr>
          <w:bCs/>
          <w:sz w:val="22"/>
          <w:szCs w:val="22"/>
        </w:rPr>
        <w:t xml:space="preserve"> &amp; pre-painted </w:t>
      </w:r>
      <w:proofErr w:type="spellStart"/>
      <w:r w:rsidRPr="006E611C">
        <w:rPr>
          <w:bCs/>
          <w:sz w:val="22"/>
          <w:szCs w:val="22"/>
        </w:rPr>
        <w:t>galvanised</w:t>
      </w:r>
      <w:proofErr w:type="spellEnd"/>
      <w:r w:rsidRPr="006E611C">
        <w:rPr>
          <w:bCs/>
          <w:sz w:val="22"/>
          <w:szCs w:val="22"/>
        </w:rPr>
        <w:t xml:space="preserve"> steel coils</w:t>
      </w:r>
    </w:p>
    <w:p w:rsidR="00643BD5" w:rsidRDefault="00643BD5" w:rsidP="008A18FC">
      <w:pPr>
        <w:tabs>
          <w:tab w:val="left" w:pos="1080"/>
        </w:tabs>
        <w:ind w:left="1080"/>
        <w:jc w:val="both"/>
        <w:rPr>
          <w:bCs/>
          <w:sz w:val="22"/>
          <w:szCs w:val="22"/>
        </w:rPr>
      </w:pPr>
    </w:p>
    <w:p w:rsidR="000976FA" w:rsidRDefault="000976FA" w:rsidP="008A18FC">
      <w:pPr>
        <w:tabs>
          <w:tab w:val="left" w:pos="1080"/>
        </w:tabs>
        <w:ind w:left="1080"/>
        <w:jc w:val="both"/>
        <w:rPr>
          <w:bCs/>
          <w:sz w:val="22"/>
          <w:szCs w:val="22"/>
        </w:rPr>
      </w:pPr>
      <w:r>
        <w:rPr>
          <w:bCs/>
          <w:sz w:val="22"/>
          <w:szCs w:val="22"/>
        </w:rPr>
        <w:lastRenderedPageBreak/>
        <w:t>As at the end of the reporting quarter the Group’s bio-coal plant has yet to commence commercial production.</w:t>
      </w:r>
    </w:p>
    <w:p w:rsidR="000976FA" w:rsidRPr="006E611C" w:rsidRDefault="000976FA"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9F7983" w:rsidP="008A18FC">
      <w:pPr>
        <w:ind w:left="1080"/>
        <w:jc w:val="both"/>
        <w:rPr>
          <w:sz w:val="22"/>
          <w:szCs w:val="22"/>
        </w:rPr>
      </w:pPr>
      <w:r>
        <w:rPr>
          <w:sz w:val="22"/>
          <w:szCs w:val="22"/>
        </w:rPr>
        <w:t>P</w:t>
      </w:r>
      <w:r w:rsidR="00643BD5" w:rsidRPr="006E611C">
        <w:rPr>
          <w:sz w:val="22"/>
          <w:szCs w:val="22"/>
        </w:rPr>
        <w:t>roperty, plant and equipment are stated at cost less accumulated depreciation and impairment losses except for freehold land which</w:t>
      </w:r>
      <w:r w:rsidR="00643BD5" w:rsidRPr="006E611C">
        <w:rPr>
          <w:bCs/>
          <w:sz w:val="22"/>
          <w:szCs w:val="22"/>
        </w:rPr>
        <w:t xml:space="preserve"> is stated at cost. </w:t>
      </w:r>
      <w:r w:rsidR="00643BD5" w:rsidRPr="006E611C">
        <w:rPr>
          <w:sz w:val="22"/>
          <w:szCs w:val="22"/>
        </w:rPr>
        <w:t xml:space="preserve">There </w:t>
      </w:r>
      <w:r w:rsidR="00161D7E">
        <w:rPr>
          <w:sz w:val="22"/>
          <w:szCs w:val="22"/>
        </w:rPr>
        <w:t>is</w:t>
      </w:r>
      <w:r w:rsidR="00643BD5" w:rsidRPr="006E611C">
        <w:rPr>
          <w:sz w:val="22"/>
          <w:szCs w:val="22"/>
        </w:rPr>
        <w:t xml:space="preserve"> no revaluation of property, plant and equipment for the current quarter and financial year to date.</w:t>
      </w: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E17A7B" w:rsidP="00E17A7B">
      <w:pPr>
        <w:pStyle w:val="BodyText"/>
        <w:ind w:left="1080"/>
        <w:jc w:val="both"/>
        <w:rPr>
          <w:i w:val="0"/>
          <w:sz w:val="22"/>
          <w:szCs w:val="22"/>
        </w:rPr>
      </w:pPr>
      <w:r>
        <w:rPr>
          <w:i w:val="0"/>
          <w:sz w:val="22"/>
          <w:szCs w:val="22"/>
        </w:rPr>
        <w:t>T</w:t>
      </w:r>
      <w:r w:rsidR="00ED0FDF" w:rsidRPr="00FB1F32">
        <w:rPr>
          <w:i w:val="0"/>
          <w:sz w:val="22"/>
          <w:szCs w:val="22"/>
        </w:rPr>
        <w:t xml:space="preserve">here </w:t>
      </w:r>
      <w:r w:rsidR="00161D7E">
        <w:rPr>
          <w:i w:val="0"/>
          <w:sz w:val="22"/>
          <w:szCs w:val="22"/>
        </w:rPr>
        <w:t>is</w:t>
      </w:r>
      <w:r w:rsidR="00ED0FDF" w:rsidRPr="00FB1F32">
        <w:rPr>
          <w:i w:val="0"/>
          <w:sz w:val="22"/>
          <w:szCs w:val="22"/>
        </w:rPr>
        <w:t xml:space="preserve"> no material event subsequent to the end of the current quarter under review</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41569E" w:rsidP="00161D7E">
      <w:pPr>
        <w:ind w:left="1080"/>
        <w:jc w:val="both"/>
        <w:rPr>
          <w:sz w:val="22"/>
          <w:szCs w:val="22"/>
        </w:rPr>
      </w:pPr>
      <w:r w:rsidRPr="0041569E">
        <w:rPr>
          <w:sz w:val="22"/>
          <w:szCs w:val="22"/>
        </w:rPr>
        <w:t xml:space="preserve">Following the completion of the acquisition of a 20% equity stake in </w:t>
      </w:r>
      <w:proofErr w:type="spellStart"/>
      <w:r w:rsidRPr="0041569E">
        <w:rPr>
          <w:sz w:val="22"/>
          <w:szCs w:val="22"/>
        </w:rPr>
        <w:t>Tatt</w:t>
      </w:r>
      <w:proofErr w:type="spellEnd"/>
      <w:r w:rsidRPr="0041569E">
        <w:rPr>
          <w:sz w:val="22"/>
          <w:szCs w:val="22"/>
        </w:rPr>
        <w:t xml:space="preserve"> </w:t>
      </w:r>
      <w:proofErr w:type="spellStart"/>
      <w:r w:rsidRPr="0041569E">
        <w:rPr>
          <w:sz w:val="22"/>
          <w:szCs w:val="22"/>
        </w:rPr>
        <w:t>Giap</w:t>
      </w:r>
      <w:proofErr w:type="spellEnd"/>
      <w:r w:rsidRPr="0041569E">
        <w:rPr>
          <w:sz w:val="22"/>
          <w:szCs w:val="22"/>
        </w:rPr>
        <w:t xml:space="preserve"> Steel Centre </w:t>
      </w:r>
      <w:proofErr w:type="spellStart"/>
      <w:r w:rsidRPr="0041569E">
        <w:rPr>
          <w:sz w:val="22"/>
          <w:szCs w:val="22"/>
        </w:rPr>
        <w:t>Sdn</w:t>
      </w:r>
      <w:proofErr w:type="spellEnd"/>
      <w:r w:rsidRPr="0041569E">
        <w:rPr>
          <w:sz w:val="22"/>
          <w:szCs w:val="22"/>
        </w:rPr>
        <w:t xml:space="preserve"> </w:t>
      </w:r>
      <w:proofErr w:type="spellStart"/>
      <w:r w:rsidRPr="0041569E">
        <w:rPr>
          <w:sz w:val="22"/>
          <w:szCs w:val="22"/>
        </w:rPr>
        <w:t>Bhd</w:t>
      </w:r>
      <w:proofErr w:type="spellEnd"/>
      <w:r w:rsidRPr="0041569E">
        <w:rPr>
          <w:sz w:val="22"/>
          <w:szCs w:val="22"/>
        </w:rPr>
        <w:t xml:space="preserve"> (TGSC) on 1</w:t>
      </w:r>
      <w:r w:rsidR="00161D7E">
        <w:rPr>
          <w:sz w:val="22"/>
          <w:szCs w:val="22"/>
        </w:rPr>
        <w:t>9</w:t>
      </w:r>
      <w:r w:rsidRPr="0041569E">
        <w:rPr>
          <w:sz w:val="22"/>
          <w:szCs w:val="22"/>
          <w:vertAlign w:val="superscript"/>
        </w:rPr>
        <w:t>th</w:t>
      </w:r>
      <w:r w:rsidRPr="0041569E">
        <w:rPr>
          <w:sz w:val="22"/>
          <w:szCs w:val="22"/>
        </w:rPr>
        <w:t xml:space="preserve"> April 2013, TGSC is now an associate</w:t>
      </w:r>
      <w:r w:rsidR="00E17A7B">
        <w:rPr>
          <w:sz w:val="22"/>
          <w:szCs w:val="22"/>
        </w:rPr>
        <w:t>d</w:t>
      </w:r>
      <w:r w:rsidRPr="0041569E">
        <w:rPr>
          <w:sz w:val="22"/>
          <w:szCs w:val="22"/>
        </w:rPr>
        <w:t xml:space="preserve"> company of the Group.</w:t>
      </w:r>
      <w:r>
        <w:rPr>
          <w:sz w:val="22"/>
          <w:szCs w:val="22"/>
        </w:rPr>
        <w:t xml:space="preserve"> </w:t>
      </w:r>
      <w:r w:rsidR="00E17A7B">
        <w:rPr>
          <w:sz w:val="22"/>
          <w:szCs w:val="22"/>
        </w:rPr>
        <w:t>Save for the aforesaid, t</w:t>
      </w:r>
      <w:r w:rsidR="0036383F" w:rsidRPr="0041569E">
        <w:rPr>
          <w:sz w:val="22"/>
          <w:szCs w:val="22"/>
        </w:rPr>
        <w:t xml:space="preserve">here </w:t>
      </w:r>
      <w:r w:rsidR="00161D7E">
        <w:rPr>
          <w:sz w:val="22"/>
          <w:szCs w:val="22"/>
        </w:rPr>
        <w:t>is</w:t>
      </w:r>
      <w:r w:rsidR="0036383F" w:rsidRPr="0041569E">
        <w:rPr>
          <w:sz w:val="22"/>
          <w:szCs w:val="22"/>
        </w:rPr>
        <w:t xml:space="preserve"> no </w:t>
      </w:r>
      <w:r w:rsidR="00E17A7B">
        <w:rPr>
          <w:sz w:val="22"/>
          <w:szCs w:val="22"/>
        </w:rPr>
        <w:t xml:space="preserve">other </w:t>
      </w:r>
      <w:r w:rsidR="0036383F" w:rsidRPr="0041569E">
        <w:rPr>
          <w:sz w:val="22"/>
          <w:szCs w:val="22"/>
        </w:rPr>
        <w:t xml:space="preserve">changes </w:t>
      </w:r>
      <w:r w:rsidR="0036383F" w:rsidRPr="006E611C">
        <w:rPr>
          <w:sz w:val="22"/>
          <w:szCs w:val="22"/>
        </w:rPr>
        <w:t>in the composition of the Group during the current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025622" w:rsidRDefault="00CD1E08" w:rsidP="003251C8">
      <w:pPr>
        <w:pStyle w:val="BodyText"/>
        <w:ind w:left="1080"/>
        <w:jc w:val="both"/>
        <w:rPr>
          <w:i w:val="0"/>
          <w:sz w:val="22"/>
          <w:szCs w:val="22"/>
        </w:rPr>
      </w:pPr>
      <w:r>
        <w:rPr>
          <w:i w:val="0"/>
          <w:sz w:val="22"/>
          <w:szCs w:val="22"/>
        </w:rPr>
        <w:t>T</w:t>
      </w:r>
      <w:r w:rsidR="00161D7E">
        <w:rPr>
          <w:i w:val="0"/>
          <w:sz w:val="22"/>
          <w:szCs w:val="22"/>
        </w:rPr>
        <w:t>here is</w:t>
      </w:r>
      <w:r w:rsidR="00CD2955">
        <w:rPr>
          <w:i w:val="0"/>
          <w:sz w:val="22"/>
          <w:szCs w:val="22"/>
        </w:rPr>
        <w:t xml:space="preserve"> no </w:t>
      </w:r>
      <w:r w:rsidR="00025622">
        <w:rPr>
          <w:i w:val="0"/>
          <w:sz w:val="22"/>
          <w:szCs w:val="22"/>
        </w:rPr>
        <w:t>contingent liabilit</w:t>
      </w:r>
      <w:r w:rsidR="00161D7E">
        <w:rPr>
          <w:i w:val="0"/>
          <w:sz w:val="22"/>
          <w:szCs w:val="22"/>
        </w:rPr>
        <w:t>y</w:t>
      </w:r>
      <w:r w:rsidR="00025622">
        <w:rPr>
          <w:i w:val="0"/>
          <w:sz w:val="22"/>
          <w:szCs w:val="22"/>
        </w:rPr>
        <w:t xml:space="preserve"> incurred by the Group which, upon becoming enforceable, may have a material impact on the financial position of the Group.</w:t>
      </w:r>
    </w:p>
    <w:p w:rsidR="00025622" w:rsidRDefault="00025622" w:rsidP="003251C8">
      <w:pPr>
        <w:pStyle w:val="BodyText"/>
        <w:ind w:left="1080"/>
        <w:jc w:val="both"/>
        <w:rPr>
          <w:i w:val="0"/>
          <w:sz w:val="22"/>
          <w:szCs w:val="22"/>
        </w:rPr>
      </w:pPr>
    </w:p>
    <w:p w:rsidR="00756650" w:rsidRDefault="00756650" w:rsidP="003251C8">
      <w:pPr>
        <w:pStyle w:val="BodyText"/>
        <w:ind w:left="1080"/>
        <w:jc w:val="both"/>
        <w:rPr>
          <w:i w:val="0"/>
          <w:sz w:val="22"/>
          <w:szCs w:val="22"/>
        </w:rPr>
      </w:pP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E17A7B">
            <w:pPr>
              <w:widowControl w:val="0"/>
              <w:tabs>
                <w:tab w:val="left" w:pos="1080"/>
              </w:tabs>
              <w:jc w:val="center"/>
              <w:rPr>
                <w:rFonts w:eastAsia="Times New Roman"/>
                <w:sz w:val="22"/>
                <w:szCs w:val="22"/>
              </w:rPr>
            </w:pPr>
            <w:r w:rsidRPr="006E611C">
              <w:rPr>
                <w:rFonts w:eastAsia="Times New Roman"/>
                <w:iCs/>
                <w:sz w:val="22"/>
                <w:szCs w:val="22"/>
              </w:rPr>
              <w:t xml:space="preserve">      </w:t>
            </w:r>
            <w:r w:rsidR="00025622">
              <w:rPr>
                <w:rFonts w:eastAsia="Times New Roman"/>
                <w:iCs/>
                <w:sz w:val="22"/>
                <w:szCs w:val="22"/>
              </w:rPr>
              <w:t>5</w:t>
            </w:r>
            <w:r w:rsidR="0036383F" w:rsidRPr="006E611C">
              <w:rPr>
                <w:rFonts w:eastAsia="Times New Roman"/>
                <w:iCs/>
                <w:sz w:val="22"/>
                <w:szCs w:val="22"/>
              </w:rPr>
              <w:t>,</w:t>
            </w:r>
            <w:r w:rsidR="00E17A7B">
              <w:rPr>
                <w:rFonts w:eastAsia="Times New Roman"/>
                <w:iCs/>
                <w:sz w:val="22"/>
                <w:szCs w:val="22"/>
              </w:rPr>
              <w:t>482</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E17A7B">
            <w:pPr>
              <w:widowControl w:val="0"/>
              <w:tabs>
                <w:tab w:val="left" w:pos="1080"/>
              </w:tabs>
              <w:jc w:val="center"/>
              <w:rPr>
                <w:rFonts w:eastAsia="Times New Roman"/>
                <w:sz w:val="22"/>
                <w:szCs w:val="22"/>
              </w:rPr>
            </w:pPr>
            <w:r w:rsidRPr="006E611C">
              <w:rPr>
                <w:iCs/>
                <w:sz w:val="22"/>
                <w:szCs w:val="22"/>
              </w:rPr>
              <w:t xml:space="preserve">    </w:t>
            </w:r>
            <w:r w:rsidR="00E17A7B">
              <w:rPr>
                <w:iCs/>
                <w:sz w:val="22"/>
                <w:szCs w:val="22"/>
              </w:rPr>
              <w:t>19</w:t>
            </w:r>
            <w:r w:rsidR="0036383F" w:rsidRPr="006E611C">
              <w:rPr>
                <w:iCs/>
                <w:sz w:val="22"/>
                <w:szCs w:val="22"/>
              </w:rPr>
              <w:t>,</w:t>
            </w:r>
            <w:r w:rsidR="00E17A7B">
              <w:rPr>
                <w:iCs/>
                <w:sz w:val="22"/>
                <w:szCs w:val="22"/>
              </w:rPr>
              <w:t>768</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E17A7B">
            <w:pPr>
              <w:widowControl w:val="0"/>
              <w:tabs>
                <w:tab w:val="left" w:pos="1080"/>
              </w:tabs>
              <w:rPr>
                <w:rFonts w:eastAsia="Times New Roman"/>
                <w:sz w:val="22"/>
                <w:szCs w:val="22"/>
              </w:rPr>
            </w:pPr>
            <w:r w:rsidRPr="006E611C">
              <w:rPr>
                <w:rFonts w:eastAsia="Times New Roman"/>
                <w:sz w:val="22"/>
                <w:szCs w:val="22"/>
              </w:rPr>
              <w:t xml:space="preserve">      </w:t>
            </w:r>
            <w:r w:rsidR="0036383F" w:rsidRPr="006E611C">
              <w:rPr>
                <w:rFonts w:eastAsia="Times New Roman"/>
                <w:sz w:val="22"/>
                <w:szCs w:val="22"/>
              </w:rPr>
              <w:t>2</w:t>
            </w:r>
            <w:r w:rsidR="00E17A7B">
              <w:rPr>
                <w:rFonts w:eastAsia="Times New Roman"/>
                <w:sz w:val="22"/>
                <w:szCs w:val="22"/>
              </w:rPr>
              <w:t>5</w:t>
            </w:r>
            <w:r w:rsidR="0036383F" w:rsidRPr="006E611C">
              <w:rPr>
                <w:rFonts w:eastAsia="Times New Roman"/>
                <w:sz w:val="22"/>
                <w:szCs w:val="22"/>
              </w:rPr>
              <w:t>,</w:t>
            </w:r>
            <w:r w:rsidR="00E17A7B">
              <w:rPr>
                <w:rFonts w:eastAsia="Times New Roman"/>
                <w:sz w:val="22"/>
                <w:szCs w:val="22"/>
              </w:rPr>
              <w:t>250</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0B3D1A" w:rsidRPr="006E611C" w:rsidRDefault="00643BD5" w:rsidP="000B3D1A">
      <w:pPr>
        <w:ind w:left="1080"/>
        <w:jc w:val="both"/>
        <w:rPr>
          <w:sz w:val="22"/>
          <w:szCs w:val="22"/>
        </w:rPr>
      </w:pPr>
      <w:r w:rsidRPr="006E611C">
        <w:rPr>
          <w:sz w:val="22"/>
          <w:szCs w:val="22"/>
        </w:rPr>
        <w:t>The G</w:t>
      </w:r>
      <w:r w:rsidR="00BD57C6" w:rsidRPr="006E611C">
        <w:rPr>
          <w:sz w:val="22"/>
          <w:szCs w:val="22"/>
        </w:rPr>
        <w:t>roup achieved revenue and profit</w:t>
      </w:r>
      <w:r w:rsidRPr="006E611C">
        <w:rPr>
          <w:sz w:val="22"/>
          <w:szCs w:val="22"/>
        </w:rPr>
        <w:t xml:space="preserve"> before tax for the current quarter of RM</w:t>
      </w:r>
      <w:r w:rsidR="004F3529">
        <w:rPr>
          <w:sz w:val="22"/>
          <w:szCs w:val="22"/>
        </w:rPr>
        <w:t>289.1</w:t>
      </w:r>
      <w:r w:rsidR="000B3D1A" w:rsidRPr="006E611C">
        <w:rPr>
          <w:sz w:val="22"/>
          <w:szCs w:val="22"/>
        </w:rPr>
        <w:t xml:space="preserve"> million and RM</w:t>
      </w:r>
      <w:r w:rsidR="004F3529">
        <w:rPr>
          <w:sz w:val="22"/>
          <w:szCs w:val="22"/>
        </w:rPr>
        <w:t>10.</w:t>
      </w:r>
      <w:r w:rsidR="000976FA">
        <w:rPr>
          <w:sz w:val="22"/>
          <w:szCs w:val="22"/>
        </w:rPr>
        <w:t>2</w:t>
      </w:r>
      <w:r w:rsidRPr="006E611C">
        <w:rPr>
          <w:sz w:val="22"/>
          <w:szCs w:val="22"/>
        </w:rPr>
        <w:t xml:space="preserve"> million respectively. This represents a</w:t>
      </w:r>
      <w:r w:rsidR="004F3529">
        <w:rPr>
          <w:sz w:val="22"/>
          <w:szCs w:val="22"/>
        </w:rPr>
        <w:t xml:space="preserve"> reduction </w:t>
      </w:r>
      <w:r w:rsidRPr="006E611C">
        <w:rPr>
          <w:sz w:val="22"/>
          <w:szCs w:val="22"/>
        </w:rPr>
        <w:t>of RM</w:t>
      </w:r>
      <w:r w:rsidR="004F3529">
        <w:rPr>
          <w:sz w:val="22"/>
          <w:szCs w:val="22"/>
        </w:rPr>
        <w:t>19</w:t>
      </w:r>
      <w:r w:rsidR="00960EE8">
        <w:rPr>
          <w:sz w:val="22"/>
          <w:szCs w:val="22"/>
        </w:rPr>
        <w:t>.</w:t>
      </w:r>
      <w:r w:rsidR="004F3529">
        <w:rPr>
          <w:sz w:val="22"/>
          <w:szCs w:val="22"/>
        </w:rPr>
        <w:t>5</w:t>
      </w:r>
      <w:r w:rsidR="00C222E9" w:rsidRPr="006E611C">
        <w:rPr>
          <w:sz w:val="22"/>
          <w:szCs w:val="22"/>
        </w:rPr>
        <w:t xml:space="preserve"> million or </w:t>
      </w:r>
      <w:r w:rsidR="004F3529">
        <w:rPr>
          <w:sz w:val="22"/>
          <w:szCs w:val="22"/>
        </w:rPr>
        <w:t>6.3</w:t>
      </w:r>
      <w:r w:rsidRPr="006E611C">
        <w:rPr>
          <w:sz w:val="22"/>
          <w:szCs w:val="22"/>
        </w:rPr>
        <w:t xml:space="preserve">% </w:t>
      </w:r>
      <w:r w:rsidR="004F3529">
        <w:rPr>
          <w:sz w:val="22"/>
          <w:szCs w:val="22"/>
        </w:rPr>
        <w:t>lower</w:t>
      </w:r>
      <w:r w:rsidR="00D07FCC">
        <w:rPr>
          <w:sz w:val="22"/>
          <w:szCs w:val="22"/>
        </w:rPr>
        <w:t xml:space="preserve"> </w:t>
      </w:r>
      <w:r w:rsidRPr="006E611C">
        <w:rPr>
          <w:sz w:val="22"/>
          <w:szCs w:val="22"/>
        </w:rPr>
        <w:t>in revenue than that of its corresponding quarter.</w:t>
      </w:r>
      <w:r w:rsidR="000B3D1A" w:rsidRPr="006E611C">
        <w:rPr>
          <w:sz w:val="22"/>
          <w:szCs w:val="22"/>
        </w:rPr>
        <w:t xml:space="preserve"> </w:t>
      </w:r>
      <w:r w:rsidR="00960EE8">
        <w:rPr>
          <w:sz w:val="22"/>
          <w:szCs w:val="22"/>
        </w:rPr>
        <w:t xml:space="preserve">As a result of the </w:t>
      </w:r>
      <w:r w:rsidR="004F3529">
        <w:rPr>
          <w:sz w:val="22"/>
          <w:szCs w:val="22"/>
        </w:rPr>
        <w:t>lower</w:t>
      </w:r>
      <w:r w:rsidR="00960EE8">
        <w:rPr>
          <w:sz w:val="22"/>
          <w:szCs w:val="22"/>
        </w:rPr>
        <w:t xml:space="preserve"> revenue,</w:t>
      </w:r>
      <w:r w:rsidR="000B3D1A" w:rsidRPr="006E611C">
        <w:rPr>
          <w:sz w:val="22"/>
          <w:szCs w:val="22"/>
        </w:rPr>
        <w:t xml:space="preserve"> profit before tax </w:t>
      </w:r>
      <w:r w:rsidR="004F3529">
        <w:rPr>
          <w:sz w:val="22"/>
          <w:szCs w:val="22"/>
        </w:rPr>
        <w:t>de</w:t>
      </w:r>
      <w:r w:rsidR="000B3D1A" w:rsidRPr="006E611C">
        <w:rPr>
          <w:sz w:val="22"/>
          <w:szCs w:val="22"/>
        </w:rPr>
        <w:t xml:space="preserve">crease </w:t>
      </w:r>
      <w:r w:rsidR="00960EE8">
        <w:rPr>
          <w:sz w:val="22"/>
          <w:szCs w:val="22"/>
        </w:rPr>
        <w:t>by RM</w:t>
      </w:r>
      <w:r w:rsidR="000976FA">
        <w:rPr>
          <w:sz w:val="22"/>
          <w:szCs w:val="22"/>
        </w:rPr>
        <w:t>4.1</w:t>
      </w:r>
      <w:r w:rsidR="00960EE8">
        <w:rPr>
          <w:sz w:val="22"/>
          <w:szCs w:val="22"/>
        </w:rPr>
        <w:t xml:space="preserve"> million </w:t>
      </w:r>
      <w:r w:rsidR="00DC373A">
        <w:rPr>
          <w:sz w:val="22"/>
          <w:szCs w:val="22"/>
        </w:rPr>
        <w:t>from RM</w:t>
      </w:r>
      <w:r w:rsidR="004F3529">
        <w:rPr>
          <w:sz w:val="22"/>
          <w:szCs w:val="22"/>
        </w:rPr>
        <w:t>14.</w:t>
      </w:r>
      <w:r w:rsidR="000976FA">
        <w:rPr>
          <w:sz w:val="22"/>
          <w:szCs w:val="22"/>
        </w:rPr>
        <w:t>4</w:t>
      </w:r>
      <w:r w:rsidR="00960EE8">
        <w:rPr>
          <w:sz w:val="22"/>
          <w:szCs w:val="22"/>
        </w:rPr>
        <w:t xml:space="preserve"> </w:t>
      </w:r>
      <w:r w:rsidR="00DC373A">
        <w:rPr>
          <w:sz w:val="22"/>
          <w:szCs w:val="22"/>
        </w:rPr>
        <w:t>million in the corresponding quarter.</w:t>
      </w:r>
      <w:r w:rsidR="000B3D1A" w:rsidRPr="006E611C">
        <w:rPr>
          <w:sz w:val="22"/>
          <w:szCs w:val="22"/>
        </w:rPr>
        <w:t xml:space="preserve"> </w:t>
      </w:r>
    </w:p>
    <w:p w:rsidR="009F4B15" w:rsidRDefault="00871CCA" w:rsidP="00586950">
      <w:pPr>
        <w:ind w:left="1080"/>
        <w:jc w:val="both"/>
        <w:rPr>
          <w:sz w:val="22"/>
          <w:szCs w:val="22"/>
        </w:rPr>
      </w:pPr>
      <w:r w:rsidRPr="006E611C">
        <w:rPr>
          <w:sz w:val="22"/>
          <w:szCs w:val="22"/>
        </w:rPr>
        <w:lastRenderedPageBreak/>
        <w:t>The</w:t>
      </w:r>
      <w:r w:rsidR="000B3D1A" w:rsidRPr="006E611C">
        <w:rPr>
          <w:sz w:val="22"/>
          <w:szCs w:val="22"/>
        </w:rPr>
        <w:t xml:space="preserve"> </w:t>
      </w:r>
      <w:r w:rsidR="000976FA">
        <w:rPr>
          <w:sz w:val="22"/>
          <w:szCs w:val="22"/>
        </w:rPr>
        <w:t>de</w:t>
      </w:r>
      <w:r w:rsidR="00643BD5" w:rsidRPr="006E611C">
        <w:rPr>
          <w:sz w:val="22"/>
          <w:szCs w:val="22"/>
        </w:rPr>
        <w:t xml:space="preserve">crease in revenue </w:t>
      </w:r>
      <w:r w:rsidR="00931F0D">
        <w:rPr>
          <w:sz w:val="22"/>
          <w:szCs w:val="22"/>
        </w:rPr>
        <w:t xml:space="preserve">is primarily due to </w:t>
      </w:r>
      <w:r w:rsidR="009F4B15">
        <w:rPr>
          <w:sz w:val="22"/>
          <w:szCs w:val="22"/>
        </w:rPr>
        <w:t xml:space="preserve">the </w:t>
      </w:r>
      <w:r w:rsidR="000976FA">
        <w:rPr>
          <w:sz w:val="22"/>
          <w:szCs w:val="22"/>
        </w:rPr>
        <w:t xml:space="preserve">reduction </w:t>
      </w:r>
      <w:r w:rsidR="00960EE8">
        <w:rPr>
          <w:sz w:val="22"/>
          <w:szCs w:val="22"/>
        </w:rPr>
        <w:t xml:space="preserve">in sales volume of all our steel products </w:t>
      </w:r>
      <w:r w:rsidR="000976FA">
        <w:rPr>
          <w:sz w:val="22"/>
          <w:szCs w:val="22"/>
        </w:rPr>
        <w:t xml:space="preserve">and marginal drop in </w:t>
      </w:r>
      <w:r w:rsidR="009F4B15">
        <w:rPr>
          <w:sz w:val="22"/>
          <w:szCs w:val="22"/>
        </w:rPr>
        <w:t xml:space="preserve">their </w:t>
      </w:r>
      <w:r w:rsidR="000976FA">
        <w:rPr>
          <w:sz w:val="22"/>
          <w:szCs w:val="22"/>
        </w:rPr>
        <w:t>selling prices</w:t>
      </w:r>
      <w:r w:rsidR="00931F0D">
        <w:rPr>
          <w:sz w:val="22"/>
          <w:szCs w:val="22"/>
        </w:rPr>
        <w:t>.</w:t>
      </w:r>
      <w:r w:rsidR="00461539">
        <w:rPr>
          <w:sz w:val="22"/>
          <w:szCs w:val="22"/>
        </w:rPr>
        <w:t xml:space="preserve"> </w:t>
      </w:r>
      <w:r w:rsidR="001C4492">
        <w:rPr>
          <w:sz w:val="22"/>
          <w:szCs w:val="22"/>
        </w:rPr>
        <w:t xml:space="preserve">The </w:t>
      </w:r>
      <w:r w:rsidR="000976FA">
        <w:rPr>
          <w:sz w:val="22"/>
          <w:szCs w:val="22"/>
        </w:rPr>
        <w:t>deterioration in</w:t>
      </w:r>
      <w:r w:rsidR="001C4492">
        <w:rPr>
          <w:sz w:val="22"/>
          <w:szCs w:val="22"/>
        </w:rPr>
        <w:t xml:space="preserve"> </w:t>
      </w:r>
      <w:r w:rsidR="00461539">
        <w:rPr>
          <w:sz w:val="22"/>
          <w:szCs w:val="22"/>
        </w:rPr>
        <w:t xml:space="preserve">profit before tax </w:t>
      </w:r>
      <w:r w:rsidR="003A38E1">
        <w:rPr>
          <w:sz w:val="22"/>
          <w:szCs w:val="22"/>
        </w:rPr>
        <w:t>is</w:t>
      </w:r>
      <w:r w:rsidR="00461539">
        <w:rPr>
          <w:sz w:val="22"/>
          <w:szCs w:val="22"/>
        </w:rPr>
        <w:t xml:space="preserve"> due to </w:t>
      </w:r>
      <w:r w:rsidR="000976FA">
        <w:rPr>
          <w:sz w:val="22"/>
          <w:szCs w:val="22"/>
        </w:rPr>
        <w:t xml:space="preserve">the </w:t>
      </w:r>
      <w:r w:rsidR="009F4B15">
        <w:rPr>
          <w:sz w:val="22"/>
          <w:szCs w:val="22"/>
        </w:rPr>
        <w:t>significant</w:t>
      </w:r>
      <w:r w:rsidR="00461539">
        <w:rPr>
          <w:sz w:val="22"/>
          <w:szCs w:val="22"/>
        </w:rPr>
        <w:t xml:space="preserve"> </w:t>
      </w:r>
      <w:r w:rsidR="000976FA">
        <w:rPr>
          <w:sz w:val="22"/>
          <w:szCs w:val="22"/>
        </w:rPr>
        <w:t>write</w:t>
      </w:r>
      <w:r w:rsidR="00EF6AE0">
        <w:rPr>
          <w:sz w:val="22"/>
          <w:szCs w:val="22"/>
        </w:rPr>
        <w:t>-</w:t>
      </w:r>
      <w:r w:rsidR="000976FA">
        <w:rPr>
          <w:sz w:val="22"/>
          <w:szCs w:val="22"/>
        </w:rPr>
        <w:t xml:space="preserve">down of </w:t>
      </w:r>
      <w:r w:rsidR="009F4B15">
        <w:rPr>
          <w:sz w:val="22"/>
          <w:szCs w:val="22"/>
        </w:rPr>
        <w:t xml:space="preserve">inventories of RM9.4 million as a result of valuing inventories at </w:t>
      </w:r>
      <w:r w:rsidR="00D90CCE">
        <w:rPr>
          <w:sz w:val="22"/>
          <w:szCs w:val="22"/>
        </w:rPr>
        <w:t xml:space="preserve">the </w:t>
      </w:r>
      <w:r w:rsidR="00461539">
        <w:rPr>
          <w:sz w:val="22"/>
          <w:szCs w:val="22"/>
        </w:rPr>
        <w:t xml:space="preserve">lower </w:t>
      </w:r>
      <w:r w:rsidR="009F4B15">
        <w:rPr>
          <w:sz w:val="22"/>
          <w:szCs w:val="22"/>
        </w:rPr>
        <w:t xml:space="preserve">of </w:t>
      </w:r>
      <w:r w:rsidR="00461539">
        <w:rPr>
          <w:sz w:val="22"/>
          <w:szCs w:val="22"/>
        </w:rPr>
        <w:t>cost</w:t>
      </w:r>
      <w:r w:rsidR="001C4492">
        <w:rPr>
          <w:sz w:val="22"/>
          <w:szCs w:val="22"/>
        </w:rPr>
        <w:t xml:space="preserve"> </w:t>
      </w:r>
      <w:r w:rsidR="003C10CF">
        <w:rPr>
          <w:sz w:val="22"/>
          <w:szCs w:val="22"/>
        </w:rPr>
        <w:t>and</w:t>
      </w:r>
      <w:r w:rsidR="009F4B15">
        <w:rPr>
          <w:sz w:val="22"/>
          <w:szCs w:val="22"/>
        </w:rPr>
        <w:t xml:space="preserve"> net realizable value.</w:t>
      </w:r>
    </w:p>
    <w:p w:rsidR="003C10CF" w:rsidRDefault="003C10CF" w:rsidP="00586950">
      <w:pPr>
        <w:ind w:left="1080"/>
        <w:jc w:val="both"/>
        <w:rPr>
          <w:sz w:val="22"/>
          <w:szCs w:val="22"/>
        </w:rPr>
      </w:pPr>
    </w:p>
    <w:p w:rsidR="00643BD5" w:rsidRPr="006E611C" w:rsidRDefault="00871CCA" w:rsidP="00586950">
      <w:pPr>
        <w:ind w:left="1080"/>
        <w:jc w:val="both"/>
        <w:rPr>
          <w:sz w:val="22"/>
          <w:szCs w:val="22"/>
        </w:rPr>
      </w:pPr>
      <w:r w:rsidRPr="006E611C">
        <w:rPr>
          <w:sz w:val="22"/>
          <w:szCs w:val="22"/>
        </w:rPr>
        <w:t xml:space="preserve">   </w:t>
      </w:r>
    </w:p>
    <w:p w:rsidR="00643BD5" w:rsidRPr="006E611C" w:rsidRDefault="00643BD5" w:rsidP="005E06C9">
      <w:pPr>
        <w:tabs>
          <w:tab w:val="left" w:pos="1080"/>
        </w:tabs>
        <w:ind w:left="1080" w:hanging="720"/>
        <w:jc w:val="both"/>
        <w:rPr>
          <w:b/>
          <w:bCs/>
          <w:sz w:val="22"/>
          <w:szCs w:val="22"/>
        </w:rPr>
      </w:pPr>
      <w:r w:rsidRPr="006E611C">
        <w:rPr>
          <w:b/>
          <w:bCs/>
          <w:sz w:val="22"/>
          <w:szCs w:val="22"/>
        </w:rPr>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643BD5" w:rsidRDefault="00643BD5" w:rsidP="00597F44">
      <w:pPr>
        <w:tabs>
          <w:tab w:val="left" w:pos="1080"/>
        </w:tabs>
        <w:ind w:left="1080" w:hanging="1080"/>
        <w:jc w:val="both"/>
        <w:rPr>
          <w:sz w:val="22"/>
          <w:szCs w:val="22"/>
        </w:rPr>
      </w:pPr>
      <w:r w:rsidRPr="006E611C">
        <w:rPr>
          <w:sz w:val="22"/>
          <w:szCs w:val="22"/>
        </w:rPr>
        <w:tab/>
      </w:r>
      <w:r w:rsidR="00D90CCE">
        <w:rPr>
          <w:sz w:val="22"/>
          <w:szCs w:val="22"/>
        </w:rPr>
        <w:t xml:space="preserve">The </w:t>
      </w:r>
      <w:r w:rsidRPr="006E611C">
        <w:rPr>
          <w:sz w:val="22"/>
          <w:szCs w:val="22"/>
        </w:rPr>
        <w:t xml:space="preserve">Group’s revenue has </w:t>
      </w:r>
      <w:r w:rsidR="00AF4067">
        <w:rPr>
          <w:sz w:val="22"/>
          <w:szCs w:val="22"/>
        </w:rPr>
        <w:t>de</w:t>
      </w:r>
      <w:r w:rsidRPr="006E611C">
        <w:rPr>
          <w:sz w:val="22"/>
          <w:szCs w:val="22"/>
        </w:rPr>
        <w:t xml:space="preserve">creased by </w:t>
      </w:r>
      <w:r w:rsidR="00AF4067">
        <w:rPr>
          <w:sz w:val="22"/>
          <w:szCs w:val="22"/>
        </w:rPr>
        <w:t>7.3</w:t>
      </w:r>
      <w:r w:rsidRPr="006E611C">
        <w:rPr>
          <w:sz w:val="22"/>
          <w:szCs w:val="22"/>
        </w:rPr>
        <w:t>%, from RM</w:t>
      </w:r>
      <w:r w:rsidR="00AF4067">
        <w:rPr>
          <w:sz w:val="22"/>
          <w:szCs w:val="22"/>
        </w:rPr>
        <w:t>312.0</w:t>
      </w:r>
      <w:r w:rsidRPr="006E611C">
        <w:rPr>
          <w:sz w:val="22"/>
          <w:szCs w:val="22"/>
        </w:rPr>
        <w:t xml:space="preserve"> million in </w:t>
      </w:r>
      <w:r w:rsidR="00884C44" w:rsidRPr="006E611C">
        <w:rPr>
          <w:sz w:val="22"/>
          <w:szCs w:val="22"/>
        </w:rPr>
        <w:t>the preceding quarter to RM</w:t>
      </w:r>
      <w:r w:rsidR="00AF4067">
        <w:rPr>
          <w:sz w:val="22"/>
          <w:szCs w:val="22"/>
        </w:rPr>
        <w:t xml:space="preserve">289.1 </w:t>
      </w:r>
      <w:r w:rsidRPr="006E611C">
        <w:rPr>
          <w:sz w:val="22"/>
          <w:szCs w:val="22"/>
        </w:rPr>
        <w:t>million this quarter.</w:t>
      </w:r>
      <w:r w:rsidR="00E26606" w:rsidRPr="006E611C">
        <w:rPr>
          <w:sz w:val="22"/>
          <w:szCs w:val="22"/>
        </w:rPr>
        <w:t xml:space="preserve"> </w:t>
      </w:r>
      <w:r w:rsidR="00D44995" w:rsidRPr="006E611C">
        <w:rPr>
          <w:sz w:val="22"/>
          <w:szCs w:val="22"/>
        </w:rPr>
        <w:t xml:space="preserve">The </w:t>
      </w:r>
      <w:r w:rsidR="00AF4067">
        <w:rPr>
          <w:sz w:val="22"/>
          <w:szCs w:val="22"/>
        </w:rPr>
        <w:t>de</w:t>
      </w:r>
      <w:r w:rsidR="00D44995" w:rsidRPr="006E611C">
        <w:rPr>
          <w:sz w:val="22"/>
          <w:szCs w:val="22"/>
        </w:rPr>
        <w:t xml:space="preserve">crease in revenue is primarily due to </w:t>
      </w:r>
      <w:r w:rsidR="00AF4067">
        <w:rPr>
          <w:sz w:val="22"/>
          <w:szCs w:val="22"/>
        </w:rPr>
        <w:t>the significant de</w:t>
      </w:r>
      <w:r w:rsidR="00461539">
        <w:rPr>
          <w:sz w:val="22"/>
          <w:szCs w:val="22"/>
        </w:rPr>
        <w:t>crease in sales volume</w:t>
      </w:r>
      <w:r w:rsidR="003D6DAF">
        <w:rPr>
          <w:sz w:val="22"/>
          <w:szCs w:val="22"/>
        </w:rPr>
        <w:t xml:space="preserve"> </w:t>
      </w:r>
      <w:r w:rsidR="003D6DAF" w:rsidRPr="006E611C">
        <w:rPr>
          <w:sz w:val="22"/>
          <w:szCs w:val="22"/>
        </w:rPr>
        <w:t>of our steel products</w:t>
      </w:r>
      <w:r w:rsidR="00AF4067">
        <w:rPr>
          <w:sz w:val="22"/>
          <w:szCs w:val="22"/>
        </w:rPr>
        <w:t xml:space="preserve"> albeit at higher selling prices</w:t>
      </w:r>
      <w:r w:rsidR="00650C59" w:rsidRPr="006E611C">
        <w:rPr>
          <w:sz w:val="22"/>
          <w:szCs w:val="22"/>
        </w:rPr>
        <w:t>.</w:t>
      </w:r>
      <w:r w:rsidR="00292CAE" w:rsidRPr="006E611C">
        <w:rPr>
          <w:sz w:val="22"/>
          <w:szCs w:val="22"/>
        </w:rPr>
        <w:t xml:space="preserve"> </w:t>
      </w:r>
      <w:r w:rsidR="006845F7">
        <w:rPr>
          <w:sz w:val="22"/>
          <w:szCs w:val="22"/>
        </w:rPr>
        <w:t>As a result of the lower revenue</w:t>
      </w:r>
      <w:r w:rsidR="00665989">
        <w:rPr>
          <w:sz w:val="22"/>
          <w:szCs w:val="22"/>
        </w:rPr>
        <w:t xml:space="preserve"> and the significant write</w:t>
      </w:r>
      <w:r w:rsidR="00EF6AE0">
        <w:rPr>
          <w:sz w:val="22"/>
          <w:szCs w:val="22"/>
        </w:rPr>
        <w:t>-</w:t>
      </w:r>
      <w:r w:rsidR="00665989">
        <w:rPr>
          <w:sz w:val="22"/>
          <w:szCs w:val="22"/>
        </w:rPr>
        <w:t xml:space="preserve">down of inventories of RM9.4 million due to valuing inventories at </w:t>
      </w:r>
      <w:r w:rsidR="00D90CCE">
        <w:rPr>
          <w:sz w:val="22"/>
          <w:szCs w:val="22"/>
        </w:rPr>
        <w:t xml:space="preserve">the </w:t>
      </w:r>
      <w:r w:rsidR="00665989">
        <w:rPr>
          <w:sz w:val="22"/>
          <w:szCs w:val="22"/>
        </w:rPr>
        <w:t xml:space="preserve">lower of cost </w:t>
      </w:r>
      <w:r w:rsidR="00D90CCE">
        <w:rPr>
          <w:sz w:val="22"/>
          <w:szCs w:val="22"/>
        </w:rPr>
        <w:t>and</w:t>
      </w:r>
      <w:r w:rsidR="00665989">
        <w:rPr>
          <w:sz w:val="22"/>
          <w:szCs w:val="22"/>
        </w:rPr>
        <w:t xml:space="preserve"> net realizable value</w:t>
      </w:r>
      <w:r w:rsidR="006845F7">
        <w:rPr>
          <w:sz w:val="22"/>
          <w:szCs w:val="22"/>
        </w:rPr>
        <w:t>,</w:t>
      </w:r>
      <w:r w:rsidR="00665989">
        <w:rPr>
          <w:sz w:val="22"/>
          <w:szCs w:val="22"/>
        </w:rPr>
        <w:t xml:space="preserve"> the </w:t>
      </w:r>
      <w:r w:rsidR="00461539">
        <w:rPr>
          <w:sz w:val="22"/>
          <w:szCs w:val="22"/>
        </w:rPr>
        <w:t xml:space="preserve">Group’s profit before tax </w:t>
      </w:r>
      <w:r w:rsidR="006845F7">
        <w:rPr>
          <w:sz w:val="22"/>
          <w:szCs w:val="22"/>
        </w:rPr>
        <w:t>de</w:t>
      </w:r>
      <w:r w:rsidR="00461539">
        <w:rPr>
          <w:sz w:val="22"/>
          <w:szCs w:val="22"/>
        </w:rPr>
        <w:t xml:space="preserve">crease </w:t>
      </w:r>
      <w:r w:rsidR="003A38E1">
        <w:rPr>
          <w:sz w:val="22"/>
          <w:szCs w:val="22"/>
        </w:rPr>
        <w:t xml:space="preserve">significantly </w:t>
      </w:r>
      <w:r w:rsidR="00461539">
        <w:rPr>
          <w:sz w:val="22"/>
          <w:szCs w:val="22"/>
        </w:rPr>
        <w:t>by RM</w:t>
      </w:r>
      <w:r w:rsidR="003A38E1">
        <w:rPr>
          <w:sz w:val="22"/>
          <w:szCs w:val="22"/>
        </w:rPr>
        <w:t>1</w:t>
      </w:r>
      <w:r w:rsidR="006845F7">
        <w:rPr>
          <w:sz w:val="22"/>
          <w:szCs w:val="22"/>
        </w:rPr>
        <w:t>2</w:t>
      </w:r>
      <w:r w:rsidR="009F4B15">
        <w:rPr>
          <w:sz w:val="22"/>
          <w:szCs w:val="22"/>
        </w:rPr>
        <w:t>.8</w:t>
      </w:r>
      <w:r w:rsidR="00461539">
        <w:rPr>
          <w:sz w:val="22"/>
          <w:szCs w:val="22"/>
        </w:rPr>
        <w:t xml:space="preserve"> million to register RM</w:t>
      </w:r>
      <w:r w:rsidR="006845F7">
        <w:rPr>
          <w:sz w:val="22"/>
          <w:szCs w:val="22"/>
        </w:rPr>
        <w:t>10.</w:t>
      </w:r>
      <w:r w:rsidR="009F4B15">
        <w:rPr>
          <w:sz w:val="22"/>
          <w:szCs w:val="22"/>
        </w:rPr>
        <w:t>2</w:t>
      </w:r>
      <w:r w:rsidR="00461539">
        <w:rPr>
          <w:sz w:val="22"/>
          <w:szCs w:val="22"/>
        </w:rPr>
        <w:t xml:space="preserve"> million </w:t>
      </w:r>
      <w:r w:rsidR="00EC4EBC">
        <w:rPr>
          <w:sz w:val="22"/>
          <w:szCs w:val="22"/>
        </w:rPr>
        <w:t>this quarter.</w:t>
      </w:r>
      <w:r w:rsidR="00665989">
        <w:rPr>
          <w:sz w:val="22"/>
          <w:szCs w:val="22"/>
        </w:rPr>
        <w:t xml:space="preserve"> </w:t>
      </w:r>
    </w:p>
    <w:p w:rsidR="009F4B15" w:rsidRDefault="009F4B15" w:rsidP="00597F44">
      <w:pPr>
        <w:tabs>
          <w:tab w:val="left" w:pos="1080"/>
        </w:tabs>
        <w:ind w:left="1080" w:hanging="1080"/>
        <w:jc w:val="both"/>
        <w:rPr>
          <w:sz w:val="22"/>
          <w:szCs w:val="22"/>
        </w:rPr>
      </w:pPr>
    </w:p>
    <w:p w:rsidR="00A65302" w:rsidRPr="006E611C" w:rsidRDefault="009F4B15" w:rsidP="00665989">
      <w:pPr>
        <w:tabs>
          <w:tab w:val="left" w:pos="1080"/>
        </w:tabs>
        <w:ind w:left="1080" w:hanging="1080"/>
        <w:jc w:val="both"/>
        <w:rPr>
          <w:sz w:val="22"/>
          <w:szCs w:val="22"/>
        </w:rPr>
      </w:pPr>
      <w:r>
        <w:rPr>
          <w:sz w:val="22"/>
          <w:szCs w:val="22"/>
        </w:rPr>
        <w:tab/>
      </w: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643BD5" w:rsidRDefault="00624F77" w:rsidP="00FB1F32">
      <w:pPr>
        <w:tabs>
          <w:tab w:val="left" w:pos="1080"/>
        </w:tabs>
        <w:ind w:left="1080" w:hanging="720"/>
        <w:jc w:val="both"/>
        <w:rPr>
          <w:sz w:val="22"/>
          <w:szCs w:val="22"/>
        </w:rPr>
      </w:pPr>
      <w:r>
        <w:rPr>
          <w:sz w:val="22"/>
          <w:szCs w:val="22"/>
        </w:rPr>
        <w:tab/>
      </w:r>
    </w:p>
    <w:p w:rsidR="00E83C63" w:rsidRDefault="00E83C63" w:rsidP="00E83C63">
      <w:pPr>
        <w:spacing w:line="260" w:lineRule="atLeast"/>
        <w:ind w:left="1080"/>
        <w:rPr>
          <w:color w:val="000000"/>
          <w:sz w:val="22"/>
          <w:szCs w:val="22"/>
        </w:rPr>
      </w:pPr>
      <w:r>
        <w:rPr>
          <w:color w:val="000000"/>
          <w:sz w:val="22"/>
          <w:szCs w:val="22"/>
        </w:rPr>
        <w:t xml:space="preserve">The </w:t>
      </w:r>
      <w:r w:rsidRPr="006A4748">
        <w:rPr>
          <w:color w:val="000000"/>
          <w:sz w:val="22"/>
          <w:szCs w:val="22"/>
        </w:rPr>
        <w:t xml:space="preserve">IMF </w:t>
      </w:r>
      <w:r>
        <w:rPr>
          <w:color w:val="000000"/>
          <w:sz w:val="22"/>
          <w:szCs w:val="22"/>
        </w:rPr>
        <w:t xml:space="preserve">had </w:t>
      </w:r>
      <w:r w:rsidR="00EF2F4D">
        <w:rPr>
          <w:color w:val="000000"/>
          <w:sz w:val="22"/>
          <w:szCs w:val="22"/>
        </w:rPr>
        <w:t xml:space="preserve">recently </w:t>
      </w:r>
      <w:r w:rsidRPr="006A4748">
        <w:rPr>
          <w:color w:val="000000"/>
          <w:sz w:val="22"/>
          <w:szCs w:val="22"/>
        </w:rPr>
        <w:t xml:space="preserve">reported </w:t>
      </w:r>
      <w:r w:rsidR="00EF2F4D">
        <w:rPr>
          <w:color w:val="000000"/>
          <w:sz w:val="22"/>
          <w:szCs w:val="22"/>
        </w:rPr>
        <w:t>that the Federal Reserve of United States is looking at exiting</w:t>
      </w:r>
      <w:r>
        <w:rPr>
          <w:color w:val="000000"/>
          <w:sz w:val="22"/>
          <w:szCs w:val="22"/>
        </w:rPr>
        <w:t xml:space="preserve"> the </w:t>
      </w:r>
      <w:r w:rsidRPr="006A4748">
        <w:rPr>
          <w:color w:val="000000"/>
          <w:sz w:val="22"/>
          <w:szCs w:val="22"/>
        </w:rPr>
        <w:t>Monetary Quantit</w:t>
      </w:r>
      <w:r>
        <w:rPr>
          <w:color w:val="000000"/>
          <w:sz w:val="22"/>
          <w:szCs w:val="22"/>
        </w:rPr>
        <w:t>ative</w:t>
      </w:r>
      <w:r w:rsidRPr="006A4748">
        <w:rPr>
          <w:color w:val="000000"/>
          <w:sz w:val="22"/>
          <w:szCs w:val="22"/>
        </w:rPr>
        <w:t xml:space="preserve"> Easing Policy</w:t>
      </w:r>
      <w:r w:rsidR="00EF2F4D">
        <w:rPr>
          <w:color w:val="000000"/>
          <w:sz w:val="22"/>
          <w:szCs w:val="22"/>
        </w:rPr>
        <w:t>. This</w:t>
      </w:r>
      <w:r w:rsidRPr="006A4748">
        <w:rPr>
          <w:color w:val="000000"/>
          <w:sz w:val="22"/>
          <w:szCs w:val="22"/>
        </w:rPr>
        <w:t xml:space="preserve"> is expected to slow down the global economic expansion</w:t>
      </w:r>
      <w:r w:rsidR="00EF2F4D">
        <w:rPr>
          <w:color w:val="000000"/>
          <w:sz w:val="22"/>
          <w:szCs w:val="22"/>
        </w:rPr>
        <w:t xml:space="preserve"> in the coming months</w:t>
      </w:r>
      <w:r w:rsidRPr="006A4748">
        <w:rPr>
          <w:color w:val="000000"/>
          <w:sz w:val="22"/>
          <w:szCs w:val="22"/>
        </w:rPr>
        <w:t xml:space="preserve">. </w:t>
      </w:r>
    </w:p>
    <w:p w:rsidR="00E83C63" w:rsidRPr="006A4748" w:rsidRDefault="00E83C63" w:rsidP="00E83C63">
      <w:pPr>
        <w:spacing w:line="260" w:lineRule="atLeast"/>
        <w:ind w:left="1080"/>
        <w:rPr>
          <w:color w:val="000000"/>
          <w:sz w:val="22"/>
          <w:szCs w:val="22"/>
        </w:rPr>
      </w:pPr>
    </w:p>
    <w:p w:rsidR="00E83C63" w:rsidRDefault="00E83C63" w:rsidP="00E83C63">
      <w:pPr>
        <w:spacing w:line="260" w:lineRule="atLeast"/>
        <w:ind w:left="1080"/>
        <w:rPr>
          <w:color w:val="000000"/>
          <w:sz w:val="22"/>
          <w:szCs w:val="22"/>
        </w:rPr>
      </w:pPr>
      <w:r w:rsidRPr="006A4748">
        <w:rPr>
          <w:color w:val="000000"/>
          <w:sz w:val="22"/>
          <w:szCs w:val="22"/>
        </w:rPr>
        <w:t xml:space="preserve"> In China, the economic growth in the 2</w:t>
      </w:r>
      <w:r w:rsidRPr="006A4748">
        <w:rPr>
          <w:color w:val="000000"/>
          <w:sz w:val="22"/>
          <w:szCs w:val="22"/>
          <w:vertAlign w:val="superscript"/>
        </w:rPr>
        <w:t>nd</w:t>
      </w:r>
      <w:r w:rsidRPr="006A4748">
        <w:rPr>
          <w:color w:val="000000"/>
          <w:sz w:val="22"/>
          <w:szCs w:val="22"/>
        </w:rPr>
        <w:t xml:space="preserve"> quarter is slightly lower than the 1</w:t>
      </w:r>
      <w:r w:rsidRPr="006A4748">
        <w:rPr>
          <w:color w:val="000000"/>
          <w:sz w:val="22"/>
          <w:szCs w:val="22"/>
          <w:vertAlign w:val="superscript"/>
        </w:rPr>
        <w:t>st</w:t>
      </w:r>
      <w:r w:rsidRPr="006A4748">
        <w:rPr>
          <w:color w:val="000000"/>
          <w:sz w:val="22"/>
          <w:szCs w:val="22"/>
        </w:rPr>
        <w:t xml:space="preserve"> quarter; local consumption and export for 3</w:t>
      </w:r>
      <w:r w:rsidRPr="006A4748">
        <w:rPr>
          <w:color w:val="000000"/>
          <w:sz w:val="22"/>
          <w:szCs w:val="22"/>
          <w:vertAlign w:val="superscript"/>
        </w:rPr>
        <w:t>rd</w:t>
      </w:r>
      <w:r w:rsidRPr="006A4748">
        <w:rPr>
          <w:color w:val="000000"/>
          <w:sz w:val="22"/>
          <w:szCs w:val="22"/>
        </w:rPr>
        <w:t xml:space="preserve"> quarter still remain stable. As a result, </w:t>
      </w:r>
      <w:r w:rsidR="00E57073">
        <w:rPr>
          <w:color w:val="000000"/>
          <w:sz w:val="22"/>
          <w:szCs w:val="22"/>
        </w:rPr>
        <w:t xml:space="preserve">China is optimistic </w:t>
      </w:r>
      <w:r w:rsidR="00EF2F4D">
        <w:rPr>
          <w:color w:val="000000"/>
          <w:sz w:val="22"/>
          <w:szCs w:val="22"/>
        </w:rPr>
        <w:t>it</w:t>
      </w:r>
      <w:r w:rsidR="00E57073">
        <w:rPr>
          <w:color w:val="000000"/>
          <w:sz w:val="22"/>
          <w:szCs w:val="22"/>
        </w:rPr>
        <w:t xml:space="preserve"> </w:t>
      </w:r>
      <w:r w:rsidR="008379BF">
        <w:rPr>
          <w:color w:val="000000"/>
          <w:sz w:val="22"/>
          <w:szCs w:val="22"/>
        </w:rPr>
        <w:t xml:space="preserve">can </w:t>
      </w:r>
      <w:r w:rsidRPr="006A4748">
        <w:rPr>
          <w:color w:val="000000"/>
          <w:sz w:val="22"/>
          <w:szCs w:val="22"/>
        </w:rPr>
        <w:t>achiev</w:t>
      </w:r>
      <w:r w:rsidR="00EF2F4D">
        <w:rPr>
          <w:color w:val="000000"/>
          <w:sz w:val="22"/>
          <w:szCs w:val="22"/>
        </w:rPr>
        <w:t>e</w:t>
      </w:r>
      <w:r w:rsidRPr="006A4748">
        <w:rPr>
          <w:color w:val="000000"/>
          <w:sz w:val="22"/>
          <w:szCs w:val="22"/>
        </w:rPr>
        <w:t xml:space="preserve"> </w:t>
      </w:r>
      <w:r w:rsidR="008379BF">
        <w:rPr>
          <w:color w:val="000000"/>
          <w:sz w:val="22"/>
          <w:szCs w:val="22"/>
        </w:rPr>
        <w:t xml:space="preserve">a </w:t>
      </w:r>
      <w:r w:rsidRPr="006A4748">
        <w:rPr>
          <w:color w:val="000000"/>
          <w:sz w:val="22"/>
          <w:szCs w:val="22"/>
        </w:rPr>
        <w:t xml:space="preserve">7.5% target in </w:t>
      </w:r>
      <w:r w:rsidR="008379BF">
        <w:rPr>
          <w:color w:val="000000"/>
          <w:sz w:val="22"/>
          <w:szCs w:val="22"/>
        </w:rPr>
        <w:t xml:space="preserve">annual </w:t>
      </w:r>
      <w:r w:rsidRPr="006A4748">
        <w:rPr>
          <w:color w:val="000000"/>
          <w:sz w:val="22"/>
          <w:szCs w:val="22"/>
        </w:rPr>
        <w:t xml:space="preserve">growth. However, </w:t>
      </w:r>
      <w:r>
        <w:rPr>
          <w:color w:val="000000"/>
          <w:sz w:val="22"/>
          <w:szCs w:val="22"/>
        </w:rPr>
        <w:t xml:space="preserve">the </w:t>
      </w:r>
      <w:r w:rsidRPr="006A4748">
        <w:rPr>
          <w:color w:val="000000"/>
          <w:sz w:val="22"/>
          <w:szCs w:val="22"/>
        </w:rPr>
        <w:t>over</w:t>
      </w:r>
      <w:r>
        <w:rPr>
          <w:color w:val="000000"/>
          <w:sz w:val="22"/>
          <w:szCs w:val="22"/>
        </w:rPr>
        <w:t>-</w:t>
      </w:r>
      <w:r w:rsidRPr="006A4748">
        <w:rPr>
          <w:color w:val="000000"/>
          <w:sz w:val="22"/>
          <w:szCs w:val="22"/>
        </w:rPr>
        <w:t xml:space="preserve">supply </w:t>
      </w:r>
      <w:r>
        <w:rPr>
          <w:color w:val="000000"/>
          <w:sz w:val="22"/>
          <w:szCs w:val="22"/>
        </w:rPr>
        <w:t xml:space="preserve">of steel </w:t>
      </w:r>
      <w:r w:rsidRPr="006A4748">
        <w:rPr>
          <w:color w:val="000000"/>
          <w:sz w:val="22"/>
          <w:szCs w:val="22"/>
        </w:rPr>
        <w:t>in China’s market remains serious.  If China’s steel exports do not decrease in the coming months then steel prices will be suppressed.</w:t>
      </w:r>
    </w:p>
    <w:p w:rsidR="00E83C63" w:rsidRPr="006A4748" w:rsidRDefault="00E83C63" w:rsidP="00E83C63">
      <w:pPr>
        <w:spacing w:line="260" w:lineRule="atLeast"/>
        <w:ind w:left="1080"/>
        <w:rPr>
          <w:color w:val="000000"/>
          <w:sz w:val="22"/>
          <w:szCs w:val="22"/>
        </w:rPr>
      </w:pPr>
    </w:p>
    <w:p w:rsidR="00E83C63" w:rsidRDefault="00E83C63" w:rsidP="00E83C63">
      <w:pPr>
        <w:spacing w:line="260" w:lineRule="atLeast"/>
        <w:ind w:left="1080"/>
        <w:rPr>
          <w:rStyle w:val="hps"/>
          <w:sz w:val="22"/>
          <w:szCs w:val="22"/>
        </w:rPr>
      </w:pPr>
      <w:r w:rsidRPr="006A4748">
        <w:rPr>
          <w:color w:val="000000"/>
          <w:sz w:val="22"/>
          <w:szCs w:val="22"/>
        </w:rPr>
        <w:t xml:space="preserve">The economic growth of ASEAN is expected to drop to 5.6% from the previous year’s 5.9%. Similarly Malaysia’s economic growth is also expected to decline from 5.6% to </w:t>
      </w:r>
      <w:r w:rsidR="00EF2F4D">
        <w:rPr>
          <w:color w:val="000000"/>
          <w:sz w:val="22"/>
          <w:szCs w:val="22"/>
        </w:rPr>
        <w:t>5.1%, or even worse</w:t>
      </w:r>
      <w:r w:rsidRPr="006A4748">
        <w:rPr>
          <w:color w:val="000000"/>
          <w:sz w:val="22"/>
          <w:szCs w:val="22"/>
        </w:rPr>
        <w:t xml:space="preserve"> to 4.5% </w:t>
      </w:r>
      <w:r w:rsidRPr="006A4748">
        <w:rPr>
          <w:rStyle w:val="hps"/>
          <w:sz w:val="22"/>
          <w:szCs w:val="22"/>
        </w:rPr>
        <w:t>due to</w:t>
      </w:r>
      <w:r w:rsidRPr="006A4748">
        <w:rPr>
          <w:sz w:val="22"/>
          <w:szCs w:val="22"/>
        </w:rPr>
        <w:t xml:space="preserve"> </w:t>
      </w:r>
      <w:r w:rsidRPr="006A4748">
        <w:rPr>
          <w:rStyle w:val="hps"/>
          <w:sz w:val="22"/>
          <w:szCs w:val="22"/>
        </w:rPr>
        <w:t xml:space="preserve">the </w:t>
      </w:r>
      <w:r w:rsidR="00EF2F4D">
        <w:rPr>
          <w:rStyle w:val="hps"/>
          <w:sz w:val="22"/>
          <w:szCs w:val="22"/>
        </w:rPr>
        <w:t xml:space="preserve">slow-down in </w:t>
      </w:r>
      <w:r w:rsidRPr="006A4748">
        <w:rPr>
          <w:rStyle w:val="hps"/>
          <w:sz w:val="22"/>
          <w:szCs w:val="22"/>
        </w:rPr>
        <w:t>growth</w:t>
      </w:r>
      <w:r w:rsidRPr="006A4748">
        <w:rPr>
          <w:sz w:val="22"/>
          <w:szCs w:val="22"/>
        </w:rPr>
        <w:t xml:space="preserve"> </w:t>
      </w:r>
      <w:r w:rsidRPr="006A4748">
        <w:rPr>
          <w:rStyle w:val="hps"/>
          <w:sz w:val="22"/>
          <w:szCs w:val="22"/>
        </w:rPr>
        <w:t>of emerging economies</w:t>
      </w:r>
      <w:r w:rsidRPr="006A4748">
        <w:rPr>
          <w:sz w:val="22"/>
          <w:szCs w:val="22"/>
        </w:rPr>
        <w:t xml:space="preserve"> </w:t>
      </w:r>
      <w:r w:rsidRPr="006A4748">
        <w:rPr>
          <w:rStyle w:val="hps"/>
          <w:sz w:val="22"/>
          <w:szCs w:val="22"/>
        </w:rPr>
        <w:t>and crude oil</w:t>
      </w:r>
      <w:r w:rsidRPr="006A4748">
        <w:rPr>
          <w:sz w:val="22"/>
          <w:szCs w:val="22"/>
        </w:rPr>
        <w:t xml:space="preserve"> </w:t>
      </w:r>
      <w:r w:rsidRPr="006A4748">
        <w:rPr>
          <w:rStyle w:val="hps"/>
          <w:sz w:val="22"/>
          <w:szCs w:val="22"/>
        </w:rPr>
        <w:t>and</w:t>
      </w:r>
      <w:r w:rsidRPr="006A4748">
        <w:rPr>
          <w:sz w:val="22"/>
          <w:szCs w:val="22"/>
        </w:rPr>
        <w:t xml:space="preserve"> </w:t>
      </w:r>
      <w:r w:rsidRPr="006A4748">
        <w:rPr>
          <w:rStyle w:val="hps"/>
          <w:sz w:val="22"/>
          <w:szCs w:val="22"/>
        </w:rPr>
        <w:t>palm oil</w:t>
      </w:r>
      <w:r w:rsidRPr="006A4748">
        <w:rPr>
          <w:sz w:val="22"/>
          <w:szCs w:val="22"/>
        </w:rPr>
        <w:t xml:space="preserve"> </w:t>
      </w:r>
      <w:r w:rsidRPr="006A4748">
        <w:rPr>
          <w:rStyle w:val="hps"/>
          <w:sz w:val="22"/>
          <w:szCs w:val="22"/>
        </w:rPr>
        <w:t>market downturn</w:t>
      </w:r>
      <w:r w:rsidRPr="006A4748">
        <w:rPr>
          <w:sz w:val="22"/>
          <w:szCs w:val="22"/>
        </w:rPr>
        <w:t xml:space="preserve">. In addition, </w:t>
      </w:r>
      <w:r w:rsidRPr="006A4748">
        <w:rPr>
          <w:rStyle w:val="hps"/>
          <w:sz w:val="22"/>
          <w:szCs w:val="22"/>
        </w:rPr>
        <w:t>the government policy to tighten household loan will affect the domestic steel consumption.</w:t>
      </w:r>
    </w:p>
    <w:p w:rsidR="00E83C63" w:rsidRPr="006A4748" w:rsidRDefault="00E83C63" w:rsidP="00E83C63">
      <w:pPr>
        <w:spacing w:line="260" w:lineRule="atLeast"/>
        <w:ind w:left="1080"/>
        <w:rPr>
          <w:rStyle w:val="hps"/>
          <w:sz w:val="22"/>
          <w:szCs w:val="22"/>
        </w:rPr>
      </w:pPr>
    </w:p>
    <w:p w:rsidR="00E83C63" w:rsidRDefault="00E83C63" w:rsidP="00E83C63">
      <w:pPr>
        <w:spacing w:line="260" w:lineRule="atLeast"/>
        <w:ind w:left="1080"/>
        <w:rPr>
          <w:color w:val="000000"/>
          <w:sz w:val="22"/>
          <w:szCs w:val="22"/>
        </w:rPr>
      </w:pPr>
      <w:r w:rsidRPr="006A4748">
        <w:rPr>
          <w:color w:val="000000"/>
          <w:sz w:val="22"/>
          <w:szCs w:val="22"/>
        </w:rPr>
        <w:t xml:space="preserve">There are signs that international steel prices have </w:t>
      </w:r>
      <w:proofErr w:type="spellStart"/>
      <w:r w:rsidRPr="006A4748">
        <w:rPr>
          <w:color w:val="000000"/>
          <w:sz w:val="22"/>
          <w:szCs w:val="22"/>
        </w:rPr>
        <w:t>stabilised</w:t>
      </w:r>
      <w:proofErr w:type="spellEnd"/>
      <w:r w:rsidRPr="006A4748">
        <w:rPr>
          <w:color w:val="000000"/>
          <w:sz w:val="22"/>
          <w:szCs w:val="22"/>
        </w:rPr>
        <w:t xml:space="preserve"> and strengthened, but the demand is improving slowly.</w:t>
      </w:r>
    </w:p>
    <w:p w:rsidR="00E83C63" w:rsidRPr="006A4748" w:rsidRDefault="00E83C63" w:rsidP="00E83C63">
      <w:pPr>
        <w:spacing w:line="260" w:lineRule="atLeast"/>
        <w:ind w:left="1080"/>
        <w:rPr>
          <w:color w:val="000000"/>
          <w:sz w:val="22"/>
          <w:szCs w:val="22"/>
        </w:rPr>
      </w:pPr>
    </w:p>
    <w:p w:rsidR="00E83C63" w:rsidRDefault="00E83C63" w:rsidP="00E83C63">
      <w:pPr>
        <w:spacing w:line="260" w:lineRule="atLeast"/>
        <w:ind w:left="1080"/>
        <w:rPr>
          <w:rFonts w:eastAsia="Times New Roman"/>
          <w:color w:val="000000"/>
          <w:sz w:val="22"/>
          <w:szCs w:val="22"/>
        </w:rPr>
      </w:pPr>
      <w:r w:rsidRPr="006A4748">
        <w:rPr>
          <w:color w:val="000000"/>
          <w:sz w:val="22"/>
          <w:szCs w:val="22"/>
        </w:rPr>
        <w:t>The domestic sales of the Group,</w:t>
      </w:r>
      <w:r w:rsidRPr="006A4748">
        <w:rPr>
          <w:rFonts w:eastAsia="Times New Roman"/>
          <w:color w:val="000000"/>
          <w:sz w:val="22"/>
          <w:szCs w:val="22"/>
        </w:rPr>
        <w:t xml:space="preserve"> in both volume and price, had hit a peak in the early part of the second quarter and subsequently weakened sharply at the end of the second quarter. As a result, sales volume and price dropped drastically. However, we expect the sales volume in third quarter to recover steadily but with thin margin. </w:t>
      </w:r>
    </w:p>
    <w:p w:rsidR="00E83C63" w:rsidRPr="006A4748" w:rsidRDefault="00E83C63" w:rsidP="00E83C63">
      <w:pPr>
        <w:spacing w:line="260" w:lineRule="atLeast"/>
        <w:ind w:left="1080"/>
        <w:rPr>
          <w:rFonts w:eastAsia="Times New Roman"/>
          <w:color w:val="000000"/>
          <w:sz w:val="22"/>
          <w:szCs w:val="22"/>
        </w:rPr>
      </w:pPr>
    </w:p>
    <w:p w:rsidR="00E83C63" w:rsidRPr="006A4748" w:rsidRDefault="00E83C63" w:rsidP="00E83C63">
      <w:pPr>
        <w:spacing w:line="260" w:lineRule="atLeast"/>
        <w:ind w:left="1080"/>
        <w:rPr>
          <w:rFonts w:eastAsia="Times New Roman"/>
          <w:color w:val="000000"/>
          <w:sz w:val="22"/>
          <w:szCs w:val="22"/>
        </w:rPr>
      </w:pPr>
      <w:r w:rsidRPr="006A4748">
        <w:rPr>
          <w:rFonts w:eastAsia="Times New Roman"/>
          <w:color w:val="000000"/>
          <w:sz w:val="22"/>
          <w:szCs w:val="22"/>
        </w:rPr>
        <w:t>For the export sales, Indonesian steel market is still our main focus due to the relatively strong demand compared to the rest of the A</w:t>
      </w:r>
      <w:r w:rsidR="00F34417">
        <w:rPr>
          <w:rFonts w:eastAsia="Times New Roman"/>
          <w:color w:val="000000"/>
          <w:sz w:val="22"/>
          <w:szCs w:val="22"/>
        </w:rPr>
        <w:t>SEAN</w:t>
      </w:r>
      <w:r w:rsidRPr="006A4748">
        <w:rPr>
          <w:rFonts w:eastAsia="Times New Roman"/>
          <w:color w:val="000000"/>
          <w:sz w:val="22"/>
          <w:szCs w:val="22"/>
        </w:rPr>
        <w:t xml:space="preserve"> countries. However, we are still facing stiff competition from Chinese, Indian and Korean steel mills. As such we are expecting profit margin to remain thin.</w:t>
      </w:r>
    </w:p>
    <w:p w:rsidR="00E83C63" w:rsidRPr="006D5A56" w:rsidRDefault="00E83C63" w:rsidP="00E83C63">
      <w:pPr>
        <w:spacing w:line="260" w:lineRule="atLeast"/>
        <w:ind w:left="1080"/>
        <w:rPr>
          <w:sz w:val="32"/>
          <w:szCs w:val="32"/>
        </w:rPr>
      </w:pPr>
      <w:r w:rsidRPr="006A4748">
        <w:rPr>
          <w:rFonts w:eastAsia="Times New Roman"/>
          <w:color w:val="000000"/>
          <w:sz w:val="22"/>
          <w:szCs w:val="22"/>
        </w:rPr>
        <w:t>Barring any unforeseen circumstances, the Group is cautiously optimistic that the rest of the year will be profitable.</w:t>
      </w:r>
    </w:p>
    <w:p w:rsidR="004121A5" w:rsidRDefault="004121A5" w:rsidP="004860B6">
      <w:pPr>
        <w:snapToGrid w:val="0"/>
        <w:ind w:left="1080"/>
        <w:jc w:val="both"/>
        <w:rPr>
          <w:color w:val="000000"/>
          <w:sz w:val="22"/>
          <w:szCs w:val="22"/>
          <w:lang w:eastAsia="zh-CN"/>
        </w:rPr>
      </w:pPr>
    </w:p>
    <w:p w:rsidR="006F2734" w:rsidRDefault="006F2734" w:rsidP="004860B6">
      <w:pPr>
        <w:snapToGrid w:val="0"/>
        <w:ind w:left="1080"/>
        <w:jc w:val="both"/>
        <w:rPr>
          <w:color w:val="000000"/>
          <w:sz w:val="22"/>
          <w:szCs w:val="22"/>
          <w:lang w:eastAsia="zh-CN"/>
        </w:rPr>
      </w:pPr>
    </w:p>
    <w:p w:rsidR="006F2734" w:rsidRDefault="006F2734" w:rsidP="004860B6">
      <w:pPr>
        <w:snapToGrid w:val="0"/>
        <w:ind w:left="1080"/>
        <w:jc w:val="both"/>
        <w:rPr>
          <w:color w:val="000000"/>
          <w:sz w:val="22"/>
          <w:szCs w:val="22"/>
          <w:lang w:eastAsia="zh-CN"/>
        </w:rPr>
      </w:pPr>
    </w:p>
    <w:p w:rsidR="0077473A" w:rsidRPr="009F6856" w:rsidRDefault="0077473A" w:rsidP="003251C8">
      <w:pPr>
        <w:snapToGrid w:val="0"/>
        <w:ind w:left="1080"/>
        <w:jc w:val="both"/>
      </w:pPr>
    </w:p>
    <w:p w:rsidR="00643BD5" w:rsidRPr="006E611C" w:rsidRDefault="00643BD5" w:rsidP="008A18FC">
      <w:pPr>
        <w:tabs>
          <w:tab w:val="left" w:pos="1080"/>
        </w:tabs>
        <w:ind w:left="1080" w:hanging="720"/>
        <w:jc w:val="both"/>
        <w:rPr>
          <w:sz w:val="22"/>
          <w:szCs w:val="22"/>
        </w:rPr>
      </w:pPr>
      <w:r w:rsidRPr="006E611C">
        <w:rPr>
          <w:b/>
          <w:bCs/>
          <w:sz w:val="22"/>
          <w:szCs w:val="22"/>
        </w:rPr>
        <w:lastRenderedPageBreak/>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6F2734" w:rsidRDefault="006F2734" w:rsidP="00C20B9C">
      <w:pPr>
        <w:tabs>
          <w:tab w:val="left" w:pos="1080"/>
          <w:tab w:val="left" w:pos="3960"/>
        </w:tabs>
        <w:ind w:left="1080" w:hanging="1080"/>
        <w:jc w:val="both"/>
        <w:rPr>
          <w:sz w:val="22"/>
          <w:szCs w:val="22"/>
        </w:rPr>
      </w:pPr>
    </w:p>
    <w:p w:rsidR="006F2734" w:rsidRPr="006E611C" w:rsidRDefault="006F2734" w:rsidP="00C20B9C">
      <w:pPr>
        <w:tabs>
          <w:tab w:val="left" w:pos="1080"/>
          <w:tab w:val="left" w:pos="3960"/>
        </w:tabs>
        <w:ind w:left="1080" w:hanging="1080"/>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4E03D6">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Current</w:t>
            </w:r>
          </w:p>
          <w:p w:rsidR="00CC5E44" w:rsidRPr="006E611C" w:rsidRDefault="00CC5E44" w:rsidP="004E03D6">
            <w:pPr>
              <w:jc w:val="center"/>
              <w:rPr>
                <w:b/>
                <w:bCs/>
                <w:sz w:val="22"/>
                <w:szCs w:val="22"/>
              </w:rPr>
            </w:pPr>
            <w:r w:rsidRPr="006E611C">
              <w:rPr>
                <w:b/>
                <w:bCs/>
                <w:sz w:val="22"/>
                <w:szCs w:val="22"/>
              </w:rPr>
              <w:t>year-to-date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4E03D6">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4E03D6">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665989">
            <w:pPr>
              <w:jc w:val="both"/>
              <w:rPr>
                <w:sz w:val="22"/>
                <w:szCs w:val="22"/>
              </w:rPr>
            </w:pPr>
            <w:r w:rsidRPr="006E611C">
              <w:rPr>
                <w:sz w:val="22"/>
                <w:szCs w:val="22"/>
              </w:rPr>
              <w:t xml:space="preserve">             </w:t>
            </w:r>
            <w:r w:rsidR="00CC5E44" w:rsidRPr="006E611C">
              <w:rPr>
                <w:sz w:val="22"/>
                <w:szCs w:val="22"/>
              </w:rPr>
              <w:t xml:space="preserve"> </w:t>
            </w:r>
            <w:r w:rsidR="006B4021" w:rsidRPr="006E611C">
              <w:rPr>
                <w:sz w:val="22"/>
                <w:szCs w:val="22"/>
              </w:rPr>
              <w:t xml:space="preserve"> </w:t>
            </w:r>
            <w:r w:rsidR="00665989">
              <w:rPr>
                <w:sz w:val="22"/>
                <w:szCs w:val="22"/>
              </w:rPr>
              <w:t>6</w:t>
            </w:r>
            <w:r w:rsidR="00A06778">
              <w:rPr>
                <w:sz w:val="22"/>
                <w:szCs w:val="22"/>
              </w:rPr>
              <w:t>,</w:t>
            </w:r>
            <w:r w:rsidR="00665989">
              <w:rPr>
                <w:sz w:val="22"/>
                <w:szCs w:val="22"/>
              </w:rPr>
              <w:t>162</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665989">
            <w:pPr>
              <w:jc w:val="both"/>
              <w:rPr>
                <w:sz w:val="22"/>
                <w:szCs w:val="22"/>
              </w:rPr>
            </w:pPr>
            <w:r w:rsidRPr="006E611C">
              <w:rPr>
                <w:sz w:val="22"/>
                <w:szCs w:val="22"/>
              </w:rPr>
              <w:t xml:space="preserve">             </w:t>
            </w:r>
            <w:r w:rsidR="00665989">
              <w:rPr>
                <w:sz w:val="22"/>
                <w:szCs w:val="22"/>
              </w:rPr>
              <w:t>10</w:t>
            </w:r>
            <w:r w:rsidR="00205F35">
              <w:rPr>
                <w:sz w:val="22"/>
                <w:szCs w:val="22"/>
              </w:rPr>
              <w:t>,</w:t>
            </w:r>
            <w:r w:rsidR="00665989">
              <w:rPr>
                <w:sz w:val="22"/>
                <w:szCs w:val="22"/>
              </w:rPr>
              <w:t>818</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665989">
            <w:pPr>
              <w:jc w:val="both"/>
              <w:rPr>
                <w:sz w:val="22"/>
                <w:szCs w:val="22"/>
              </w:rPr>
            </w:pPr>
            <w:r w:rsidRPr="006E611C">
              <w:rPr>
                <w:sz w:val="22"/>
                <w:szCs w:val="22"/>
              </w:rPr>
              <w:t xml:space="preserve">             </w:t>
            </w:r>
            <w:r w:rsidR="00B27576">
              <w:rPr>
                <w:sz w:val="22"/>
                <w:szCs w:val="22"/>
              </w:rPr>
              <w:t xml:space="preserve"> </w:t>
            </w:r>
            <w:r w:rsidR="00665989">
              <w:rPr>
                <w:sz w:val="22"/>
                <w:szCs w:val="22"/>
              </w:rPr>
              <w:t>(3,612)</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665989">
            <w:pPr>
              <w:jc w:val="both"/>
              <w:rPr>
                <w:sz w:val="22"/>
                <w:szCs w:val="22"/>
              </w:rPr>
            </w:pPr>
            <w:r w:rsidRPr="006E611C">
              <w:rPr>
                <w:sz w:val="22"/>
                <w:szCs w:val="22"/>
              </w:rPr>
              <w:t xml:space="preserve">             </w:t>
            </w:r>
            <w:r w:rsidR="00C04EDA" w:rsidRPr="006E611C">
              <w:rPr>
                <w:sz w:val="22"/>
                <w:szCs w:val="22"/>
              </w:rPr>
              <w:t xml:space="preserve"> </w:t>
            </w:r>
            <w:r w:rsidR="00665989">
              <w:rPr>
                <w:sz w:val="22"/>
                <w:szCs w:val="22"/>
              </w:rPr>
              <w:t>(2,723)</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3B27E3" w:rsidP="00665989">
            <w:pPr>
              <w:jc w:val="both"/>
              <w:rPr>
                <w:sz w:val="22"/>
                <w:szCs w:val="22"/>
              </w:rPr>
            </w:pPr>
            <w:r w:rsidRPr="006E611C">
              <w:rPr>
                <w:sz w:val="22"/>
                <w:szCs w:val="22"/>
              </w:rPr>
              <w:t xml:space="preserve">               </w:t>
            </w:r>
            <w:r w:rsidR="00665989">
              <w:rPr>
                <w:sz w:val="22"/>
                <w:szCs w:val="22"/>
              </w:rPr>
              <w:t>2</w:t>
            </w:r>
            <w:r w:rsidR="00C04EDA" w:rsidRPr="006E611C">
              <w:rPr>
                <w:sz w:val="22"/>
                <w:szCs w:val="22"/>
              </w:rPr>
              <w:t>,</w:t>
            </w:r>
            <w:r w:rsidR="00665989">
              <w:rPr>
                <w:sz w:val="22"/>
                <w:szCs w:val="22"/>
              </w:rPr>
              <w:t>550</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nil"/>
            </w:tcBorders>
            <w:vAlign w:val="bottom"/>
          </w:tcPr>
          <w:p w:rsidR="00CC5E44" w:rsidRPr="006E611C" w:rsidRDefault="00CC5E44" w:rsidP="00665989">
            <w:pPr>
              <w:jc w:val="both"/>
              <w:rPr>
                <w:sz w:val="22"/>
                <w:szCs w:val="22"/>
              </w:rPr>
            </w:pPr>
            <w:r w:rsidRPr="006E611C">
              <w:rPr>
                <w:sz w:val="22"/>
                <w:szCs w:val="22"/>
              </w:rPr>
              <w:t xml:space="preserve">              </w:t>
            </w:r>
            <w:r w:rsidR="003022AE" w:rsidRPr="006E611C">
              <w:rPr>
                <w:sz w:val="22"/>
                <w:szCs w:val="22"/>
              </w:rPr>
              <w:t xml:space="preserve"> </w:t>
            </w:r>
            <w:r w:rsidR="00665989">
              <w:rPr>
                <w:sz w:val="22"/>
                <w:szCs w:val="22"/>
              </w:rPr>
              <w:t>8</w:t>
            </w:r>
            <w:r w:rsidR="00C04EDA" w:rsidRPr="006E611C">
              <w:rPr>
                <w:sz w:val="22"/>
                <w:szCs w:val="22"/>
              </w:rPr>
              <w:t>,</w:t>
            </w:r>
            <w:r w:rsidR="00665989">
              <w:rPr>
                <w:sz w:val="22"/>
                <w:szCs w:val="22"/>
              </w:rPr>
              <w:t>094</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p w:rsidR="00035FF2" w:rsidRPr="006E611C" w:rsidRDefault="00035FF2" w:rsidP="004E03D6">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77473A">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9914CC">
              <w:rPr>
                <w:sz w:val="22"/>
                <w:szCs w:val="22"/>
              </w:rPr>
              <w:t xml:space="preserve">  </w:t>
            </w:r>
            <w:r w:rsidR="00665989">
              <w:rPr>
                <w:sz w:val="22"/>
                <w:szCs w:val="22"/>
              </w:rPr>
              <w:t>-</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147E97">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w:t>
            </w:r>
            <w:r w:rsidR="00665989">
              <w:rPr>
                <w:sz w:val="22"/>
                <w:szCs w:val="22"/>
              </w:rPr>
              <w:t>-</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986915">
            <w:pPr>
              <w:jc w:val="both"/>
              <w:rPr>
                <w:sz w:val="22"/>
                <w:szCs w:val="22"/>
              </w:rPr>
            </w:pPr>
            <w:r w:rsidRPr="006E611C">
              <w:rPr>
                <w:sz w:val="22"/>
                <w:szCs w:val="22"/>
              </w:rPr>
              <w:t xml:space="preserve">                 </w:t>
            </w:r>
            <w:r w:rsidR="00C04EDA" w:rsidRPr="006E611C">
              <w:rPr>
                <w:sz w:val="22"/>
                <w:szCs w:val="22"/>
              </w:rPr>
              <w:t xml:space="preserve">  </w:t>
            </w:r>
            <w:r w:rsidR="009914CC">
              <w:rPr>
                <w:sz w:val="22"/>
                <w:szCs w:val="22"/>
              </w:rPr>
              <w:t xml:space="preserve"> </w:t>
            </w:r>
            <w:r w:rsidR="00665989">
              <w:rPr>
                <w:sz w:val="22"/>
                <w:szCs w:val="22"/>
              </w:rPr>
              <w:t>166</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665989">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C04EDA" w:rsidRPr="006E611C">
              <w:rPr>
                <w:sz w:val="22"/>
                <w:szCs w:val="22"/>
              </w:rPr>
              <w:t xml:space="preserve"> </w:t>
            </w:r>
            <w:r w:rsidR="00665989">
              <w:rPr>
                <w:sz w:val="22"/>
                <w:szCs w:val="22"/>
              </w:rPr>
              <w:t>166</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665989">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665989">
              <w:rPr>
                <w:sz w:val="22"/>
                <w:szCs w:val="22"/>
              </w:rPr>
              <w:t>166</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665989">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3022AE" w:rsidRPr="006E611C">
              <w:rPr>
                <w:sz w:val="22"/>
                <w:szCs w:val="22"/>
              </w:rPr>
              <w:t xml:space="preserve"> </w:t>
            </w:r>
            <w:r w:rsidR="00665989">
              <w:rPr>
                <w:sz w:val="22"/>
                <w:szCs w:val="22"/>
              </w:rPr>
              <w:t>166</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4E03D6">
            <w:pPr>
              <w:jc w:val="both"/>
              <w:rPr>
                <w:sz w:val="22"/>
                <w:szCs w:val="22"/>
              </w:rPr>
            </w:pPr>
          </w:p>
        </w:tc>
        <w:tc>
          <w:tcPr>
            <w:tcW w:w="216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left w:val="nil"/>
              <w:right w:val="nil"/>
            </w:tcBorders>
            <w:vAlign w:val="bottom"/>
          </w:tcPr>
          <w:p w:rsidR="00035FF2" w:rsidRPr="006E611C" w:rsidRDefault="00035FF2" w:rsidP="00665989">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2269A" w:rsidRPr="006E611C">
              <w:rPr>
                <w:sz w:val="22"/>
                <w:szCs w:val="22"/>
              </w:rPr>
              <w:t xml:space="preserve"> </w:t>
            </w:r>
            <w:r w:rsidR="00665989">
              <w:rPr>
                <w:sz w:val="22"/>
                <w:szCs w:val="22"/>
              </w:rPr>
              <w:t>2</w:t>
            </w:r>
            <w:r w:rsidR="0032269A" w:rsidRPr="006E611C">
              <w:rPr>
                <w:sz w:val="22"/>
                <w:szCs w:val="22"/>
              </w:rPr>
              <w:t>,</w:t>
            </w:r>
            <w:r w:rsidR="00665989">
              <w:rPr>
                <w:sz w:val="22"/>
                <w:szCs w:val="22"/>
              </w:rPr>
              <w:t>716</w:t>
            </w:r>
          </w:p>
        </w:tc>
        <w:tc>
          <w:tcPr>
            <w:tcW w:w="450" w:type="dxa"/>
            <w:gridSpan w:val="2"/>
            <w:tcBorders>
              <w:left w:val="nil"/>
              <w:right w:val="nil"/>
            </w:tcBorders>
            <w:vAlign w:val="bottom"/>
          </w:tcPr>
          <w:p w:rsidR="00035FF2" w:rsidRPr="006E611C" w:rsidRDefault="00035FF2" w:rsidP="004E03D6">
            <w:pPr>
              <w:jc w:val="both"/>
              <w:rPr>
                <w:sz w:val="22"/>
                <w:szCs w:val="22"/>
              </w:rPr>
            </w:pPr>
          </w:p>
        </w:tc>
        <w:tc>
          <w:tcPr>
            <w:tcW w:w="2160" w:type="dxa"/>
            <w:gridSpan w:val="2"/>
            <w:tcBorders>
              <w:left w:val="nil"/>
              <w:right w:val="nil"/>
            </w:tcBorders>
            <w:vAlign w:val="bottom"/>
          </w:tcPr>
          <w:p w:rsidR="00035FF2" w:rsidRPr="006E611C" w:rsidRDefault="00035FF2" w:rsidP="00665989">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665989">
              <w:rPr>
                <w:sz w:val="22"/>
                <w:szCs w:val="22"/>
              </w:rPr>
              <w:t>8</w:t>
            </w:r>
            <w:r w:rsidR="0032269A" w:rsidRPr="006E611C">
              <w:rPr>
                <w:sz w:val="22"/>
                <w:szCs w:val="22"/>
              </w:rPr>
              <w:t>,</w:t>
            </w:r>
            <w:r w:rsidR="00665989">
              <w:rPr>
                <w:sz w:val="22"/>
                <w:szCs w:val="22"/>
              </w:rPr>
              <w:t>260</w:t>
            </w:r>
          </w:p>
        </w:tc>
        <w:tc>
          <w:tcPr>
            <w:tcW w:w="236" w:type="dxa"/>
            <w:tcBorders>
              <w:top w:val="nil"/>
              <w:left w:val="nil"/>
              <w:right w:val="nil"/>
            </w:tcBorders>
            <w:vAlign w:val="bottom"/>
          </w:tcPr>
          <w:p w:rsidR="00035FF2" w:rsidRPr="006E611C" w:rsidRDefault="00035FF2" w:rsidP="004E03D6">
            <w:pPr>
              <w:jc w:val="both"/>
              <w:rPr>
                <w:sz w:val="22"/>
                <w:szCs w:val="22"/>
              </w:rPr>
            </w:pPr>
          </w:p>
        </w:tc>
      </w:tr>
    </w:tbl>
    <w:p w:rsidR="00601394" w:rsidRDefault="00601394" w:rsidP="00017EDF">
      <w:pPr>
        <w:ind w:left="1080"/>
        <w:jc w:val="both"/>
        <w:rPr>
          <w:sz w:val="22"/>
          <w:szCs w:val="22"/>
        </w:rPr>
      </w:pPr>
    </w:p>
    <w:p w:rsidR="00643BD5" w:rsidRPr="006E611C" w:rsidRDefault="00643BD5" w:rsidP="00017EDF">
      <w:pPr>
        <w:ind w:left="1080"/>
        <w:jc w:val="both"/>
        <w:rPr>
          <w:sz w:val="22"/>
          <w:szCs w:val="22"/>
        </w:rPr>
      </w:pPr>
      <w:r w:rsidRPr="006E611C">
        <w:rPr>
          <w:sz w:val="22"/>
          <w:szCs w:val="22"/>
        </w:rPr>
        <w:t xml:space="preserve">The effective tax rate for the </w:t>
      </w:r>
      <w:r w:rsidR="008F500B">
        <w:rPr>
          <w:sz w:val="22"/>
          <w:szCs w:val="22"/>
        </w:rPr>
        <w:t xml:space="preserve">current </w:t>
      </w:r>
      <w:r w:rsidRPr="006E611C">
        <w:rPr>
          <w:sz w:val="22"/>
          <w:szCs w:val="22"/>
        </w:rPr>
        <w:t>period was lower than the statutory income tax rate of 25% due mainly to 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the tax effect of income not taxable in determining taxable profit; and</w:t>
      </w:r>
    </w:p>
    <w:p w:rsidR="00643BD5" w:rsidRPr="006E611C" w:rsidRDefault="00643BD5" w:rsidP="00017EDF">
      <w:pPr>
        <w:numPr>
          <w:ilvl w:val="0"/>
          <w:numId w:val="7"/>
        </w:numPr>
        <w:jc w:val="both"/>
        <w:rPr>
          <w:sz w:val="22"/>
          <w:szCs w:val="22"/>
        </w:rPr>
      </w:pPr>
      <w:proofErr w:type="gramStart"/>
      <w:r w:rsidRPr="006E611C">
        <w:rPr>
          <w:sz w:val="22"/>
          <w:szCs w:val="22"/>
        </w:rPr>
        <w:t>the</w:t>
      </w:r>
      <w:proofErr w:type="gramEnd"/>
      <w:r w:rsidRPr="006E611C">
        <w:rPr>
          <w:sz w:val="22"/>
          <w:szCs w:val="22"/>
        </w:rPr>
        <w:t xml:space="preserve"> tax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r w:rsidRPr="006E611C">
        <w:rPr>
          <w:sz w:val="22"/>
          <w:szCs w:val="22"/>
        </w:rPr>
        <w:t>However, the reduction is partly offset by expenses not deductible for tax purposes.</w:t>
      </w: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43BD5" w:rsidRDefault="00CE305A" w:rsidP="008A18FC">
      <w:pPr>
        <w:ind w:left="1080"/>
        <w:jc w:val="both"/>
        <w:rPr>
          <w:sz w:val="22"/>
          <w:szCs w:val="22"/>
        </w:rPr>
      </w:pPr>
      <w:r>
        <w:rPr>
          <w:sz w:val="22"/>
          <w:szCs w:val="22"/>
        </w:rPr>
        <w:t>An announcement was made on 9</w:t>
      </w:r>
      <w:r w:rsidRPr="00CE305A">
        <w:rPr>
          <w:sz w:val="22"/>
          <w:szCs w:val="22"/>
          <w:vertAlign w:val="superscript"/>
        </w:rPr>
        <w:t>th</w:t>
      </w:r>
      <w:r>
        <w:rPr>
          <w:sz w:val="22"/>
          <w:szCs w:val="22"/>
        </w:rPr>
        <w:t xml:space="preserve"> November 2012 whereby CHB ha</w:t>
      </w:r>
      <w:r w:rsidR="00282C90">
        <w:rPr>
          <w:sz w:val="22"/>
          <w:szCs w:val="22"/>
        </w:rPr>
        <w:t>d</w:t>
      </w:r>
      <w:r>
        <w:rPr>
          <w:sz w:val="22"/>
          <w:szCs w:val="22"/>
        </w:rPr>
        <w:t xml:space="preserve"> signed an agreement with </w:t>
      </w:r>
      <w:proofErr w:type="spellStart"/>
      <w:r>
        <w:rPr>
          <w:sz w:val="22"/>
          <w:szCs w:val="22"/>
        </w:rPr>
        <w:t>Tatt</w:t>
      </w:r>
      <w:proofErr w:type="spellEnd"/>
      <w:r>
        <w:rPr>
          <w:sz w:val="22"/>
          <w:szCs w:val="22"/>
        </w:rPr>
        <w:t xml:space="preserve"> </w:t>
      </w:r>
      <w:proofErr w:type="spellStart"/>
      <w:r>
        <w:rPr>
          <w:sz w:val="22"/>
          <w:szCs w:val="22"/>
        </w:rPr>
        <w:t>Giap</w:t>
      </w:r>
      <w:proofErr w:type="spellEnd"/>
      <w:r>
        <w:rPr>
          <w:sz w:val="22"/>
          <w:szCs w:val="22"/>
        </w:rPr>
        <w:t xml:space="preserve"> Group </w:t>
      </w:r>
      <w:proofErr w:type="spellStart"/>
      <w:r>
        <w:rPr>
          <w:sz w:val="22"/>
          <w:szCs w:val="22"/>
        </w:rPr>
        <w:t>Berhad</w:t>
      </w:r>
      <w:proofErr w:type="spellEnd"/>
      <w:r>
        <w:rPr>
          <w:sz w:val="22"/>
          <w:szCs w:val="22"/>
        </w:rPr>
        <w:t xml:space="preserve"> for the acquisition of a 20% equity stake in </w:t>
      </w:r>
      <w:proofErr w:type="spellStart"/>
      <w:r>
        <w:rPr>
          <w:sz w:val="22"/>
          <w:szCs w:val="22"/>
        </w:rPr>
        <w:t>Tatt</w:t>
      </w:r>
      <w:proofErr w:type="spellEnd"/>
      <w:r>
        <w:rPr>
          <w:sz w:val="22"/>
          <w:szCs w:val="22"/>
        </w:rPr>
        <w:t xml:space="preserve"> </w:t>
      </w:r>
      <w:proofErr w:type="spellStart"/>
      <w:r>
        <w:rPr>
          <w:sz w:val="22"/>
          <w:szCs w:val="22"/>
        </w:rPr>
        <w:t>Giap</w:t>
      </w:r>
      <w:proofErr w:type="spellEnd"/>
      <w:r>
        <w:rPr>
          <w:sz w:val="22"/>
          <w:szCs w:val="22"/>
        </w:rPr>
        <w:t xml:space="preserve"> Steel Centre </w:t>
      </w:r>
      <w:proofErr w:type="spellStart"/>
      <w:r>
        <w:rPr>
          <w:sz w:val="22"/>
          <w:szCs w:val="22"/>
        </w:rPr>
        <w:t>Sdn</w:t>
      </w:r>
      <w:proofErr w:type="spellEnd"/>
      <w:r>
        <w:rPr>
          <w:sz w:val="22"/>
          <w:szCs w:val="22"/>
        </w:rPr>
        <w:t xml:space="preserve"> </w:t>
      </w:r>
      <w:proofErr w:type="spellStart"/>
      <w:r>
        <w:rPr>
          <w:sz w:val="22"/>
          <w:szCs w:val="22"/>
        </w:rPr>
        <w:t>Bhd</w:t>
      </w:r>
      <w:proofErr w:type="spellEnd"/>
      <w:r w:rsidR="008F500B">
        <w:rPr>
          <w:sz w:val="22"/>
          <w:szCs w:val="22"/>
        </w:rPr>
        <w:t xml:space="preserve"> (TGSC)</w:t>
      </w:r>
      <w:r w:rsidR="00282C90">
        <w:rPr>
          <w:sz w:val="22"/>
          <w:szCs w:val="22"/>
        </w:rPr>
        <w:t>. This exercise was</w:t>
      </w:r>
      <w:r>
        <w:rPr>
          <w:sz w:val="22"/>
          <w:szCs w:val="22"/>
        </w:rPr>
        <w:t xml:space="preserve"> completed</w:t>
      </w:r>
      <w:r w:rsidR="00667E29">
        <w:rPr>
          <w:sz w:val="22"/>
          <w:szCs w:val="22"/>
        </w:rPr>
        <w:t xml:space="preserve"> </w:t>
      </w:r>
      <w:r w:rsidR="00057458">
        <w:rPr>
          <w:sz w:val="22"/>
          <w:szCs w:val="22"/>
        </w:rPr>
        <w:t>on 19</w:t>
      </w:r>
      <w:r w:rsidR="00057458" w:rsidRPr="00057458">
        <w:rPr>
          <w:sz w:val="22"/>
          <w:szCs w:val="22"/>
          <w:vertAlign w:val="superscript"/>
        </w:rPr>
        <w:t>th</w:t>
      </w:r>
      <w:r w:rsidR="00057458">
        <w:rPr>
          <w:sz w:val="22"/>
          <w:szCs w:val="22"/>
        </w:rPr>
        <w:t xml:space="preserve"> April 2013 </w:t>
      </w:r>
      <w:r w:rsidR="00282C90">
        <w:rPr>
          <w:sz w:val="22"/>
          <w:szCs w:val="22"/>
        </w:rPr>
        <w:t>with the payment of the balance purchase price</w:t>
      </w:r>
      <w:r>
        <w:rPr>
          <w:sz w:val="22"/>
          <w:szCs w:val="22"/>
        </w:rPr>
        <w:t>.</w:t>
      </w:r>
      <w:r w:rsidR="007739D8">
        <w:rPr>
          <w:sz w:val="22"/>
          <w:szCs w:val="22"/>
        </w:rPr>
        <w:t xml:space="preserve"> Please refer to </w:t>
      </w:r>
      <w:hyperlink r:id="rId9" w:history="1">
        <w:r w:rsidR="007739D8" w:rsidRPr="00C559BB">
          <w:rPr>
            <w:rStyle w:val="Hyperlink"/>
            <w:sz w:val="22"/>
            <w:szCs w:val="22"/>
          </w:rPr>
          <w:t>http://www.bursamalaysia.com/market/listed-companies/company-announcements/1114445</w:t>
        </w:r>
      </w:hyperlink>
      <w:r w:rsidR="007739D8">
        <w:rPr>
          <w:sz w:val="22"/>
          <w:szCs w:val="22"/>
        </w:rPr>
        <w:t xml:space="preserve"> for full details of the announcement.</w:t>
      </w:r>
    </w:p>
    <w:p w:rsidR="006F2734" w:rsidRDefault="006F2734" w:rsidP="008A18FC">
      <w:pPr>
        <w:ind w:left="1080"/>
        <w:jc w:val="both"/>
        <w:rPr>
          <w:sz w:val="22"/>
          <w:szCs w:val="22"/>
        </w:rPr>
      </w:pPr>
    </w:p>
    <w:p w:rsidR="006F2734" w:rsidRDefault="006F2734" w:rsidP="008A18FC">
      <w:pPr>
        <w:ind w:left="1080"/>
        <w:jc w:val="both"/>
        <w:rPr>
          <w:sz w:val="22"/>
          <w:szCs w:val="22"/>
        </w:rPr>
      </w:pPr>
    </w:p>
    <w:p w:rsidR="006F2734" w:rsidRDefault="006F2734" w:rsidP="008A18FC">
      <w:pPr>
        <w:ind w:left="1080"/>
        <w:jc w:val="both"/>
        <w:rPr>
          <w:sz w:val="22"/>
          <w:szCs w:val="22"/>
        </w:rPr>
      </w:pPr>
    </w:p>
    <w:p w:rsidR="006F2734" w:rsidRDefault="006F2734" w:rsidP="008A18FC">
      <w:pPr>
        <w:ind w:left="1080"/>
        <w:jc w:val="both"/>
        <w:rPr>
          <w:sz w:val="22"/>
          <w:szCs w:val="22"/>
        </w:rPr>
      </w:pPr>
    </w:p>
    <w:p w:rsidR="006F2734" w:rsidRDefault="006F2734" w:rsidP="008A18FC">
      <w:pPr>
        <w:ind w:left="1080"/>
        <w:jc w:val="both"/>
        <w:rPr>
          <w:sz w:val="22"/>
          <w:szCs w:val="22"/>
        </w:rPr>
      </w:pPr>
    </w:p>
    <w:p w:rsidR="006F2734" w:rsidRDefault="006F2734" w:rsidP="008A18FC">
      <w:pPr>
        <w:ind w:left="1080"/>
        <w:jc w:val="both"/>
        <w:rPr>
          <w:sz w:val="22"/>
          <w:szCs w:val="22"/>
        </w:rPr>
      </w:pPr>
    </w:p>
    <w:p w:rsidR="006F2734" w:rsidRDefault="006F2734" w:rsidP="008A18FC">
      <w:pPr>
        <w:ind w:left="1080"/>
        <w:jc w:val="both"/>
        <w:rPr>
          <w:sz w:val="22"/>
          <w:szCs w:val="22"/>
        </w:rPr>
      </w:pPr>
    </w:p>
    <w:p w:rsidR="006F2734" w:rsidRDefault="006F2734"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lastRenderedPageBreak/>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t>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r>
      <w:r w:rsidR="00120BA6">
        <w:rPr>
          <w:bCs/>
          <w:sz w:val="22"/>
          <w:szCs w:val="22"/>
        </w:rPr>
        <w:t>766</w:t>
      </w:r>
      <w:r w:rsidR="00B27576">
        <w:rPr>
          <w:bCs/>
          <w:sz w:val="22"/>
          <w:szCs w:val="22"/>
        </w:rPr>
        <w:t>,</w:t>
      </w:r>
      <w:r w:rsidR="00120BA6">
        <w:rPr>
          <w:bCs/>
          <w:sz w:val="22"/>
          <w:szCs w:val="22"/>
        </w:rPr>
        <w:t>4</w:t>
      </w:r>
      <w:r w:rsidR="00B27576">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57458">
        <w:rPr>
          <w:bCs/>
          <w:sz w:val="22"/>
          <w:szCs w:val="22"/>
        </w:rPr>
        <w:t>050</w:t>
      </w:r>
      <w:r w:rsidRPr="006E611C">
        <w:rPr>
          <w:bCs/>
          <w:sz w:val="22"/>
          <w:szCs w:val="22"/>
        </w:rPr>
        <w:t>,</w:t>
      </w:r>
      <w:r w:rsidR="00057458">
        <w:rPr>
          <w:bCs/>
          <w:sz w:val="22"/>
          <w:szCs w:val="22"/>
        </w:rPr>
        <w:t>5</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r>
      <w:r w:rsidR="00120BA6">
        <w:rPr>
          <w:bCs/>
          <w:sz w:val="22"/>
          <w:szCs w:val="22"/>
        </w:rPr>
        <w:t>766</w:t>
      </w:r>
      <w:r w:rsidR="00A06778">
        <w:rPr>
          <w:bCs/>
          <w:sz w:val="22"/>
          <w:szCs w:val="22"/>
        </w:rPr>
        <w:t>,</w:t>
      </w:r>
      <w:r w:rsidR="00120BA6">
        <w:rPr>
          <w:bCs/>
          <w:sz w:val="22"/>
          <w:szCs w:val="22"/>
        </w:rPr>
        <w:t>4</w:t>
      </w:r>
      <w:r w:rsidR="00A06778">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57458">
        <w:rPr>
          <w:bCs/>
          <w:sz w:val="22"/>
          <w:szCs w:val="22"/>
        </w:rPr>
        <w:t>050</w:t>
      </w:r>
      <w:r w:rsidRPr="006E611C">
        <w:rPr>
          <w:bCs/>
          <w:sz w:val="22"/>
          <w:szCs w:val="22"/>
        </w:rPr>
        <w:t>,</w:t>
      </w:r>
      <w:r w:rsidR="00057458">
        <w:rPr>
          <w:bCs/>
          <w:sz w:val="22"/>
          <w:szCs w:val="22"/>
        </w:rPr>
        <w:t>5</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w:t>
      </w:r>
      <w:r w:rsidR="00A05D26">
        <w:rPr>
          <w:i w:val="0"/>
          <w:iCs w:val="0"/>
          <w:sz w:val="22"/>
          <w:szCs w:val="22"/>
        </w:rPr>
        <w:t>re</w:t>
      </w:r>
      <w:r w:rsidRPr="006E611C">
        <w:rPr>
          <w:i w:val="0"/>
          <w:iCs w:val="0"/>
          <w:sz w:val="22"/>
          <w:szCs w:val="22"/>
        </w:rPr>
        <w:t xml:space="preserve"> </w:t>
      </w:r>
      <w:r w:rsidR="00A05D26">
        <w:rPr>
          <w:i w:val="0"/>
          <w:iCs w:val="0"/>
          <w:sz w:val="22"/>
          <w:szCs w:val="22"/>
        </w:rPr>
        <w:t xml:space="preserve">are no </w:t>
      </w:r>
      <w:r w:rsidRPr="006E611C">
        <w:rPr>
          <w:i w:val="0"/>
          <w:iCs w:val="0"/>
          <w:sz w:val="22"/>
          <w:szCs w:val="22"/>
        </w:rPr>
        <w:t>borrowings as at the end of the reporting quarter</w:t>
      </w:r>
      <w:r w:rsidR="00A05D26">
        <w:rPr>
          <w:i w:val="0"/>
          <w:iCs w:val="0"/>
          <w:sz w:val="22"/>
          <w:szCs w:val="22"/>
        </w:rPr>
        <w:t>.</w:t>
      </w:r>
    </w:p>
    <w:p w:rsidR="006723C3" w:rsidRPr="006E611C" w:rsidRDefault="006723C3" w:rsidP="006723C3">
      <w:pPr>
        <w:pStyle w:val="BodyText"/>
        <w:tabs>
          <w:tab w:val="left" w:pos="-1800"/>
        </w:tabs>
        <w:ind w:firstLine="1080"/>
        <w:jc w:val="both"/>
        <w:rPr>
          <w:i w:val="0"/>
          <w:iCs w:val="0"/>
          <w:sz w:val="22"/>
          <w:szCs w:val="22"/>
        </w:rPr>
      </w:pPr>
    </w:p>
    <w:p w:rsidR="00643BD5" w:rsidRPr="006E611C" w:rsidRDefault="00643BD5" w:rsidP="0012408A">
      <w:pPr>
        <w:pStyle w:val="BodyText"/>
        <w:tabs>
          <w:tab w:val="left" w:pos="-1800"/>
        </w:tabs>
        <w:ind w:firstLine="1080"/>
        <w:jc w:val="both"/>
        <w:rPr>
          <w:i w:val="0"/>
          <w:iCs w:val="0"/>
          <w:sz w:val="22"/>
          <w:szCs w:val="22"/>
        </w:rPr>
      </w:pPr>
      <w:bookmarkStart w:id="2" w:name="_MON_1396444715"/>
      <w:bookmarkEnd w:id="2"/>
    </w:p>
    <w:p w:rsidR="00643BD5" w:rsidRPr="006E611C" w:rsidRDefault="001F64CA" w:rsidP="008A18FC">
      <w:pPr>
        <w:tabs>
          <w:tab w:val="left" w:pos="1080"/>
        </w:tabs>
        <w:ind w:left="1080" w:hanging="720"/>
        <w:jc w:val="both"/>
        <w:rPr>
          <w:b/>
          <w:bCs/>
          <w:sz w:val="22"/>
          <w:szCs w:val="22"/>
        </w:rPr>
      </w:pPr>
      <w:r w:rsidRPr="006E611C">
        <w:rPr>
          <w:b/>
          <w:bCs/>
          <w:sz w:val="22"/>
          <w:szCs w:val="22"/>
        </w:rPr>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Neither CHB nor any of its subsidiaries is engaged in any litigation or arbitration, either as plaintiff or defendant, which has a material effect on the financial position of the Company or any of its subsidiaries.</w:t>
      </w:r>
    </w:p>
    <w:p w:rsidR="00643BD5" w:rsidRDefault="00643BD5" w:rsidP="008A18FC">
      <w:pPr>
        <w:jc w:val="both"/>
        <w:rPr>
          <w:sz w:val="22"/>
          <w:szCs w:val="22"/>
        </w:rPr>
      </w:pPr>
    </w:p>
    <w:p w:rsidR="00601394" w:rsidRPr="006E611C" w:rsidRDefault="00601394"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Pr="006E611C" w:rsidRDefault="00643BD5" w:rsidP="009D0247">
      <w:pPr>
        <w:tabs>
          <w:tab w:val="left" w:pos="1080"/>
        </w:tabs>
        <w:ind w:left="1080" w:hanging="720"/>
        <w:jc w:val="both"/>
        <w:rPr>
          <w:b/>
          <w:bCs/>
          <w:sz w:val="22"/>
          <w:szCs w:val="22"/>
        </w:rPr>
      </w:pPr>
      <w:r w:rsidRPr="006E611C">
        <w:rPr>
          <w:b/>
          <w:bCs/>
          <w:sz w:val="22"/>
          <w:szCs w:val="22"/>
        </w:rPr>
        <w:tab/>
      </w:r>
    </w:p>
    <w:p w:rsidR="00120BA6" w:rsidRPr="00DA0496" w:rsidRDefault="00120BA6" w:rsidP="00120BA6">
      <w:pPr>
        <w:tabs>
          <w:tab w:val="left" w:pos="1080"/>
        </w:tabs>
        <w:ind w:left="1080"/>
        <w:jc w:val="both"/>
        <w:rPr>
          <w:bCs/>
          <w:sz w:val="22"/>
          <w:szCs w:val="22"/>
        </w:rPr>
      </w:pPr>
      <w:r w:rsidRPr="00DA0496">
        <w:rPr>
          <w:bCs/>
          <w:sz w:val="22"/>
          <w:szCs w:val="22"/>
        </w:rPr>
        <w:t xml:space="preserve">The final single tier system of dividend of 5% or 5 </w:t>
      </w:r>
      <w:proofErr w:type="spellStart"/>
      <w:r w:rsidRPr="00DA0496">
        <w:rPr>
          <w:bCs/>
          <w:sz w:val="22"/>
          <w:szCs w:val="22"/>
        </w:rPr>
        <w:t>sen</w:t>
      </w:r>
      <w:proofErr w:type="spellEnd"/>
      <w:r w:rsidRPr="00DA0496">
        <w:rPr>
          <w:bCs/>
          <w:sz w:val="22"/>
          <w:szCs w:val="22"/>
        </w:rPr>
        <w:t xml:space="preserve"> per share and the special single tier system of dividend of 2% or 2 </w:t>
      </w:r>
      <w:proofErr w:type="spellStart"/>
      <w:r w:rsidRPr="00DA0496">
        <w:rPr>
          <w:bCs/>
          <w:sz w:val="22"/>
          <w:szCs w:val="22"/>
        </w:rPr>
        <w:t>sen</w:t>
      </w:r>
      <w:proofErr w:type="spellEnd"/>
      <w:r w:rsidRPr="00DA0496">
        <w:rPr>
          <w:bCs/>
          <w:sz w:val="22"/>
          <w:szCs w:val="22"/>
        </w:rPr>
        <w:t xml:space="preserve"> per share for the financial year ended 2012 </w:t>
      </w:r>
      <w:r>
        <w:rPr>
          <w:bCs/>
          <w:sz w:val="22"/>
          <w:szCs w:val="22"/>
        </w:rPr>
        <w:t>as recommended by the Directors were</w:t>
      </w:r>
      <w:r w:rsidRPr="00DA0496">
        <w:rPr>
          <w:bCs/>
          <w:sz w:val="22"/>
          <w:szCs w:val="22"/>
        </w:rPr>
        <w:t xml:space="preserve"> approved by the shareholders in the Ninth Annual General Meeting of </w:t>
      </w:r>
      <w:r>
        <w:rPr>
          <w:bCs/>
          <w:sz w:val="22"/>
          <w:szCs w:val="22"/>
        </w:rPr>
        <w:t>the company held on 20 June 2013</w:t>
      </w:r>
      <w:r w:rsidRPr="00DA0496">
        <w:rPr>
          <w:bCs/>
          <w:sz w:val="22"/>
          <w:szCs w:val="22"/>
        </w:rPr>
        <w:t>.</w:t>
      </w:r>
      <w:r>
        <w:rPr>
          <w:bCs/>
          <w:sz w:val="22"/>
          <w:szCs w:val="22"/>
        </w:rPr>
        <w:t xml:space="preserve"> These dividends were paid to the shareholders on 11 July 2013.</w:t>
      </w:r>
      <w:r w:rsidRPr="00DA0496">
        <w:rPr>
          <w:bCs/>
          <w:sz w:val="22"/>
          <w:szCs w:val="22"/>
        </w:rPr>
        <w:t xml:space="preserve"> </w:t>
      </w:r>
    </w:p>
    <w:p w:rsidR="00120BA6" w:rsidRPr="00DA0496" w:rsidRDefault="00120BA6" w:rsidP="00120BA6">
      <w:pPr>
        <w:tabs>
          <w:tab w:val="left" w:pos="1080"/>
        </w:tabs>
        <w:jc w:val="both"/>
        <w:rPr>
          <w:bCs/>
          <w:sz w:val="22"/>
          <w:szCs w:val="22"/>
        </w:rPr>
      </w:pPr>
      <w:r w:rsidRPr="00DA0496">
        <w:rPr>
          <w:bCs/>
          <w:sz w:val="22"/>
          <w:szCs w:val="22"/>
        </w:rPr>
        <w:t xml:space="preserve"> </w:t>
      </w:r>
    </w:p>
    <w:p w:rsidR="00E26606" w:rsidRDefault="00E26606"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lastRenderedPageBreak/>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F2734" w:rsidRDefault="00643BD5" w:rsidP="006F2734">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bookmarkStart w:id="3" w:name="_MON_1396444837"/>
    <w:bookmarkEnd w:id="3"/>
    <w:p w:rsidR="00643BD5" w:rsidRPr="006E611C" w:rsidRDefault="006F2734" w:rsidP="006F2734">
      <w:pPr>
        <w:tabs>
          <w:tab w:val="left" w:pos="1080"/>
        </w:tabs>
        <w:ind w:left="1080"/>
        <w:jc w:val="both"/>
        <w:rPr>
          <w:b/>
          <w:bCs/>
          <w:sz w:val="22"/>
          <w:szCs w:val="22"/>
        </w:rPr>
      </w:pPr>
      <w:r w:rsidRPr="006E611C">
        <w:rPr>
          <w:b/>
          <w:bCs/>
          <w:sz w:val="22"/>
          <w:szCs w:val="22"/>
        </w:rPr>
        <w:object w:dxaOrig="8824" w:dyaOrig="3349">
          <v:shape id="_x0000_i1028" type="#_x0000_t75" style="width:431.3pt;height:164.4pt" o:ole="" fillcolor="window">
            <v:imagedata r:id="rId10" o:title=""/>
          </v:shape>
          <o:OLEObject Type="Embed" ProgID="Excel.Sheet.8" ShapeID="_x0000_i1028" DrawAspect="Content" ObjectID="_1436944059" r:id="rId11"/>
        </w:object>
      </w:r>
      <w:r w:rsidR="00643BD5" w:rsidRPr="006E611C">
        <w:rPr>
          <w:b/>
          <w:bCs/>
          <w:sz w:val="22"/>
          <w:szCs w:val="22"/>
        </w:rPr>
        <w:t xml:space="preserve">   </w:t>
      </w:r>
    </w:p>
    <w:p w:rsidR="006F0E41" w:rsidRDefault="006F0E41" w:rsidP="00264BBB">
      <w:pPr>
        <w:tabs>
          <w:tab w:val="left" w:pos="1080"/>
        </w:tabs>
        <w:ind w:left="1080" w:hanging="720"/>
        <w:jc w:val="both"/>
        <w:rPr>
          <w:b/>
          <w:bCs/>
          <w:sz w:val="22"/>
          <w:szCs w:val="22"/>
        </w:rPr>
      </w:pPr>
      <w:r>
        <w:rPr>
          <w:b/>
          <w:bCs/>
          <w:sz w:val="22"/>
          <w:szCs w:val="22"/>
        </w:rPr>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4" w:name="_MON_1396709312"/>
      <w:bookmarkStart w:id="5" w:name="_MON_1396772729"/>
      <w:bookmarkStart w:id="6" w:name="_MON_1396773492"/>
      <w:bookmarkStart w:id="7" w:name="_MON_1396773887"/>
      <w:bookmarkStart w:id="8" w:name="_MON_1396773964"/>
      <w:bookmarkStart w:id="9" w:name="_MON_1396774054"/>
      <w:bookmarkStart w:id="10" w:name="_MON_1396779710"/>
      <w:bookmarkStart w:id="11" w:name="_MON_1396709353"/>
      <w:bookmarkStart w:id="12" w:name="_MON_1396939771"/>
      <w:bookmarkEnd w:id="4"/>
      <w:bookmarkEnd w:id="5"/>
      <w:bookmarkEnd w:id="6"/>
      <w:bookmarkEnd w:id="7"/>
      <w:bookmarkEnd w:id="8"/>
      <w:bookmarkEnd w:id="9"/>
      <w:bookmarkEnd w:id="10"/>
      <w:bookmarkEnd w:id="11"/>
      <w:bookmarkEnd w:id="12"/>
      <w:bookmarkStart w:id="13" w:name="_MON_1396709441"/>
      <w:bookmarkEnd w:id="13"/>
      <w:r w:rsidR="00256D7E" w:rsidRPr="00A97611">
        <w:rPr>
          <w:b/>
          <w:bCs/>
          <w:sz w:val="22"/>
          <w:szCs w:val="22"/>
        </w:rPr>
        <w:object w:dxaOrig="7075" w:dyaOrig="5109">
          <v:shape id="_x0000_i1026" type="#_x0000_t75" style="width:362.7pt;height:255.4pt" o:ole="">
            <v:imagedata r:id="rId12" o:title=""/>
          </v:shape>
          <o:OLEObject Type="Embed" ProgID="Excel.Sheet.12" ShapeID="_x0000_i1026" DrawAspect="Content" ObjectID="_1436944060" r:id="rId13"/>
        </w:object>
      </w:r>
    </w:p>
    <w:p w:rsidR="006F0E41" w:rsidRDefault="006F0E41" w:rsidP="00264BBB">
      <w:pPr>
        <w:tabs>
          <w:tab w:val="left" w:pos="1080"/>
        </w:tabs>
        <w:ind w:left="1080" w:hanging="720"/>
        <w:jc w:val="both"/>
        <w:rPr>
          <w:b/>
          <w:bCs/>
          <w:sz w:val="22"/>
          <w:szCs w:val="22"/>
        </w:rPr>
      </w:pPr>
    </w:p>
    <w:p w:rsidR="006F0E41" w:rsidRDefault="006F0E41"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1F64CA" w:rsidP="008A18FC">
      <w:pPr>
        <w:tabs>
          <w:tab w:val="left" w:pos="1080"/>
        </w:tabs>
        <w:ind w:left="1080" w:hanging="720"/>
        <w:jc w:val="both"/>
        <w:rPr>
          <w:b/>
          <w:bCs/>
          <w:sz w:val="22"/>
          <w:szCs w:val="22"/>
        </w:rPr>
      </w:pPr>
      <w:r w:rsidRPr="006E611C">
        <w:rPr>
          <w:b/>
          <w:bCs/>
          <w:sz w:val="22"/>
          <w:szCs w:val="22"/>
        </w:rPr>
        <w:lastRenderedPageBreak/>
        <w:t>B1</w:t>
      </w:r>
      <w:r w:rsidR="006F0E41">
        <w:rPr>
          <w:b/>
          <w:bCs/>
          <w:sz w:val="22"/>
          <w:szCs w:val="22"/>
        </w:rPr>
        <w:t>3</w:t>
      </w:r>
      <w:r w:rsidR="00643BD5" w:rsidRPr="006E611C">
        <w:rPr>
          <w:b/>
          <w:bCs/>
          <w:sz w:val="22"/>
          <w:szCs w:val="22"/>
        </w:rPr>
        <w:t>.</w:t>
      </w:r>
      <w:r w:rsidR="00643BD5" w:rsidRPr="006E611C">
        <w:rPr>
          <w:b/>
          <w:bCs/>
          <w:sz w:val="22"/>
          <w:szCs w:val="22"/>
        </w:rPr>
        <w:tab/>
        <w:t xml:space="preserve">Disclosure of </w:t>
      </w:r>
      <w:proofErr w:type="spellStart"/>
      <w:r w:rsidR="00643BD5" w:rsidRPr="006E611C">
        <w:rPr>
          <w:b/>
          <w:bCs/>
          <w:sz w:val="22"/>
          <w:szCs w:val="22"/>
        </w:rPr>
        <w:t>realised</w:t>
      </w:r>
      <w:proofErr w:type="spellEnd"/>
      <w:r w:rsidR="00643BD5" w:rsidRPr="006E611C">
        <w:rPr>
          <w:b/>
          <w:bCs/>
          <w:sz w:val="22"/>
          <w:szCs w:val="22"/>
        </w:rPr>
        <w:t xml:space="preserve"> and </w:t>
      </w:r>
      <w:proofErr w:type="spellStart"/>
      <w:r w:rsidR="00643BD5" w:rsidRPr="006E611C">
        <w:rPr>
          <w:b/>
          <w:bCs/>
          <w:sz w:val="22"/>
          <w:szCs w:val="22"/>
        </w:rPr>
        <w:t>unrealised</w:t>
      </w:r>
      <w:proofErr w:type="spellEnd"/>
      <w:r w:rsidR="00643BD5" w:rsidRPr="006E611C">
        <w:rPr>
          <w:b/>
          <w:bCs/>
          <w:sz w:val="22"/>
          <w:szCs w:val="22"/>
        </w:rPr>
        <w:t xml:space="preserve"> profits</w:t>
      </w: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4" w:name="_MON_1396781848"/>
      <w:bookmarkStart w:id="15" w:name="_MON_1396445306"/>
      <w:bookmarkEnd w:id="14"/>
      <w:bookmarkEnd w:id="15"/>
      <w:bookmarkStart w:id="16" w:name="_MON_1396445379"/>
      <w:bookmarkEnd w:id="16"/>
      <w:r w:rsidR="00B7653D" w:rsidRPr="006E611C">
        <w:rPr>
          <w:b/>
          <w:bCs/>
          <w:sz w:val="22"/>
          <w:szCs w:val="22"/>
        </w:rPr>
        <w:object w:dxaOrig="8256" w:dyaOrig="4406">
          <v:shape id="_x0000_i1027" type="#_x0000_t75" style="width:404.85pt;height:215.3pt" o:ole="" fillcolor="window">
            <v:imagedata r:id="rId14" o:title=""/>
          </v:shape>
          <o:OLEObject Type="Embed" ProgID="Excel.Sheet.8" ShapeID="_x0000_i1027" DrawAspect="Content" ObjectID="_1436944061" r:id="rId15"/>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w:t>
      </w:r>
      <w:r w:rsidR="005F5446">
        <w:rPr>
          <w:sz w:val="22"/>
          <w:szCs w:val="22"/>
        </w:rPr>
        <w:t>Chen, High</w:t>
      </w:r>
      <w:r w:rsidR="007A0816">
        <w:rPr>
          <w:sz w:val="22"/>
          <w:szCs w:val="22"/>
        </w:rPr>
        <w:t>-</w:t>
      </w:r>
      <w:proofErr w:type="spellStart"/>
      <w:r w:rsidR="005F5446">
        <w:rPr>
          <w:sz w:val="22"/>
          <w:szCs w:val="22"/>
        </w:rPr>
        <w:t>Pinn</w:t>
      </w:r>
      <w:proofErr w:type="spellEnd"/>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946542" w:rsidRDefault="00B7653D" w:rsidP="00B27576">
      <w:pPr>
        <w:tabs>
          <w:tab w:val="left" w:pos="1080"/>
        </w:tabs>
        <w:ind w:left="1080" w:hanging="720"/>
        <w:jc w:val="both"/>
        <w:rPr>
          <w:sz w:val="22"/>
          <w:szCs w:val="22"/>
        </w:rPr>
      </w:pPr>
      <w:r>
        <w:rPr>
          <w:sz w:val="22"/>
          <w:szCs w:val="22"/>
        </w:rPr>
        <w:t>2</w:t>
      </w:r>
      <w:r w:rsidRPr="00B7653D">
        <w:rPr>
          <w:sz w:val="22"/>
          <w:szCs w:val="22"/>
          <w:vertAlign w:val="superscript"/>
        </w:rPr>
        <w:t>nd</w:t>
      </w:r>
      <w:r>
        <w:rPr>
          <w:sz w:val="22"/>
          <w:szCs w:val="22"/>
        </w:rPr>
        <w:t xml:space="preserve"> August</w:t>
      </w:r>
      <w:r w:rsidR="00946542">
        <w:rPr>
          <w:sz w:val="22"/>
          <w:szCs w:val="22"/>
        </w:rPr>
        <w:t xml:space="preserve"> </w:t>
      </w:r>
      <w:r w:rsidR="005249A5" w:rsidRPr="006E611C">
        <w:rPr>
          <w:sz w:val="22"/>
          <w:szCs w:val="22"/>
        </w:rPr>
        <w:t>201</w:t>
      </w:r>
      <w:r w:rsidR="00946542">
        <w:rPr>
          <w:sz w:val="22"/>
          <w:szCs w:val="22"/>
        </w:rPr>
        <w:t>3</w:t>
      </w:r>
    </w:p>
    <w:p w:rsidR="00946542" w:rsidRPr="00946542" w:rsidRDefault="00946542" w:rsidP="00946542">
      <w:pPr>
        <w:rPr>
          <w:sz w:val="22"/>
          <w:szCs w:val="22"/>
        </w:rPr>
      </w:pPr>
    </w:p>
    <w:p w:rsidR="00946542" w:rsidRDefault="00946542" w:rsidP="00946542">
      <w:pPr>
        <w:rPr>
          <w:sz w:val="22"/>
          <w:szCs w:val="22"/>
        </w:rPr>
      </w:pPr>
    </w:p>
    <w:p w:rsidR="00643BD5" w:rsidRPr="00946542" w:rsidRDefault="00946542" w:rsidP="00946542">
      <w:pPr>
        <w:tabs>
          <w:tab w:val="left" w:pos="1685"/>
        </w:tabs>
        <w:rPr>
          <w:sz w:val="22"/>
          <w:szCs w:val="22"/>
        </w:rPr>
      </w:pPr>
      <w:r>
        <w:rPr>
          <w:sz w:val="22"/>
          <w:szCs w:val="22"/>
        </w:rPr>
        <w:tab/>
      </w:r>
    </w:p>
    <w:sectPr w:rsidR="00643BD5" w:rsidRPr="00946542" w:rsidSect="00C87881">
      <w:headerReference w:type="default" r:id="rId16"/>
      <w:footerReference w:type="even" r:id="rId17"/>
      <w:footerReference w:type="default" r:id="rId18"/>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1C" w:rsidRDefault="00146F1C">
      <w:r>
        <w:separator/>
      </w:r>
    </w:p>
  </w:endnote>
  <w:endnote w:type="continuationSeparator" w:id="0">
    <w:p w:rsidR="00146F1C" w:rsidRDefault="00146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8529C8" w:rsidP="00723820">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end"/>
    </w:r>
  </w:p>
  <w:p w:rsidR="00643BD5" w:rsidRDefault="00643BD5"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8529C8" w:rsidP="00D71A74">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separate"/>
    </w:r>
    <w:r w:rsidR="006F2734">
      <w:rPr>
        <w:rStyle w:val="PageNumber"/>
        <w:noProof/>
      </w:rPr>
      <w:t>8</w:t>
    </w:r>
    <w:r>
      <w:rPr>
        <w:rStyle w:val="PageNumber"/>
      </w:rPr>
      <w:fldChar w:fldCharType="end"/>
    </w:r>
  </w:p>
  <w:p w:rsidR="00643BD5" w:rsidRDefault="00643BD5">
    <w:pPr>
      <w:pStyle w:val="Footer"/>
      <w:ind w:right="360"/>
      <w:jc w:val="center"/>
      <w:rPr>
        <w:sz w:val="22"/>
        <w:szCs w:val="22"/>
      </w:rPr>
    </w:pPr>
  </w:p>
  <w:p w:rsidR="00643BD5" w:rsidRDefault="00643BD5">
    <w:pPr>
      <w:pStyle w:val="Footer"/>
      <w:ind w:right="360"/>
      <w:jc w:val="center"/>
      <w:rPr>
        <w:sz w:val="22"/>
        <w:szCs w:val="22"/>
      </w:rPr>
    </w:pPr>
  </w:p>
  <w:p w:rsidR="00643BD5" w:rsidRDefault="00643B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1C" w:rsidRDefault="00146F1C">
      <w:r>
        <w:separator/>
      </w:r>
    </w:p>
  </w:footnote>
  <w:footnote w:type="continuationSeparator" w:id="0">
    <w:p w:rsidR="00146F1C" w:rsidRDefault="00146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643BD5">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643BD5" w:rsidRPr="005B45A4" w:rsidRDefault="00643BD5">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643BD5" w:rsidRDefault="00643BD5">
    <w:pPr>
      <w:pStyle w:val="Header"/>
      <w:rPr>
        <w:rFonts w:ascii="Arial" w:hAnsi="Arial" w:cs="Arial"/>
        <w:b/>
        <w:bCs/>
        <w:i/>
        <w:iCs/>
        <w:sz w:val="22"/>
        <w:szCs w:val="22"/>
      </w:rPr>
    </w:pPr>
  </w:p>
  <w:p w:rsidR="00643BD5" w:rsidRDefault="00643BD5">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213467">
      <w:rPr>
        <w:rFonts w:ascii="Arial" w:hAnsi="Arial" w:cs="Arial"/>
        <w:b/>
        <w:bCs/>
        <w:sz w:val="22"/>
        <w:szCs w:val="22"/>
      </w:rPr>
      <w:t>Six</w:t>
    </w:r>
    <w:r>
      <w:rPr>
        <w:rFonts w:ascii="Arial" w:hAnsi="Arial" w:cs="Arial"/>
        <w:b/>
        <w:bCs/>
        <w:sz w:val="22"/>
        <w:szCs w:val="22"/>
      </w:rPr>
      <w:t xml:space="preserve"> Months Ended </w:t>
    </w:r>
    <w:r w:rsidR="007E2EB6">
      <w:rPr>
        <w:rFonts w:ascii="Arial" w:hAnsi="Arial" w:cs="Arial"/>
        <w:b/>
        <w:bCs/>
        <w:sz w:val="22"/>
        <w:szCs w:val="22"/>
      </w:rPr>
      <w:t>3</w:t>
    </w:r>
    <w:r w:rsidR="00213467">
      <w:rPr>
        <w:rFonts w:ascii="Arial" w:hAnsi="Arial" w:cs="Arial"/>
        <w:b/>
        <w:bCs/>
        <w:sz w:val="22"/>
        <w:szCs w:val="22"/>
      </w:rPr>
      <w:t>0 June</w:t>
    </w:r>
    <w:r w:rsidR="007562DB">
      <w:rPr>
        <w:rFonts w:ascii="Arial" w:hAnsi="Arial" w:cs="Arial"/>
        <w:b/>
        <w:bCs/>
        <w:sz w:val="22"/>
        <w:szCs w:val="22"/>
      </w:rPr>
      <w:t xml:space="preserve"> 201</w:t>
    </w:r>
    <w:r w:rsidR="006743DF">
      <w:rPr>
        <w:rFonts w:ascii="Arial" w:hAnsi="Arial" w:cs="Arial"/>
        <w:b/>
        <w:bCs/>
        <w:sz w:val="22"/>
        <w:szCs w:val="22"/>
      </w:rPr>
      <w:t>3</w:t>
    </w:r>
  </w:p>
  <w:p w:rsidR="00643BD5" w:rsidRDefault="00643BD5">
    <w:pPr>
      <w:pStyle w:val="Header"/>
      <w:tabs>
        <w:tab w:val="clear" w:pos="8640"/>
        <w:tab w:val="right" w:pos="10109"/>
      </w:tabs>
    </w:pPr>
  </w:p>
  <w:p w:rsidR="00643BD5" w:rsidRDefault="00643BD5">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061BC0"/>
    <w:multiLevelType w:val="hybridMultilevel"/>
    <w:tmpl w:val="7F1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6">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0">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23C5D34"/>
    <w:multiLevelType w:val="hybridMultilevel"/>
    <w:tmpl w:val="D5C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6"/>
  </w:num>
  <w:num w:numId="7">
    <w:abstractNumId w:val="4"/>
  </w:num>
  <w:num w:numId="8">
    <w:abstractNumId w:val="12"/>
  </w:num>
  <w:num w:numId="9">
    <w:abstractNumId w:val="2"/>
  </w:num>
  <w:num w:numId="10">
    <w:abstractNumId w:val="13"/>
  </w:num>
  <w:num w:numId="11">
    <w:abstractNumId w:val="0"/>
  </w:num>
  <w:num w:numId="12">
    <w:abstractNumId w:val="9"/>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74"/>
    <w:rsid w:val="000202BF"/>
    <w:rsid w:val="00020C75"/>
    <w:rsid w:val="00021792"/>
    <w:rsid w:val="00022578"/>
    <w:rsid w:val="00025622"/>
    <w:rsid w:val="00025A61"/>
    <w:rsid w:val="00025E79"/>
    <w:rsid w:val="00026D28"/>
    <w:rsid w:val="000304EF"/>
    <w:rsid w:val="00030884"/>
    <w:rsid w:val="00030E81"/>
    <w:rsid w:val="00031D0C"/>
    <w:rsid w:val="00032743"/>
    <w:rsid w:val="000352B8"/>
    <w:rsid w:val="00035FF2"/>
    <w:rsid w:val="00037179"/>
    <w:rsid w:val="0003719F"/>
    <w:rsid w:val="000373B8"/>
    <w:rsid w:val="0003782B"/>
    <w:rsid w:val="00040BB5"/>
    <w:rsid w:val="000414C2"/>
    <w:rsid w:val="00042ACE"/>
    <w:rsid w:val="0004540F"/>
    <w:rsid w:val="000456C4"/>
    <w:rsid w:val="00045A95"/>
    <w:rsid w:val="0004696B"/>
    <w:rsid w:val="0005097C"/>
    <w:rsid w:val="00050A5C"/>
    <w:rsid w:val="00051249"/>
    <w:rsid w:val="00055859"/>
    <w:rsid w:val="00055921"/>
    <w:rsid w:val="00057458"/>
    <w:rsid w:val="0005759F"/>
    <w:rsid w:val="00060847"/>
    <w:rsid w:val="00060F3A"/>
    <w:rsid w:val="00061277"/>
    <w:rsid w:val="00066B58"/>
    <w:rsid w:val="00066ED3"/>
    <w:rsid w:val="00067E58"/>
    <w:rsid w:val="0007104E"/>
    <w:rsid w:val="00071179"/>
    <w:rsid w:val="00071310"/>
    <w:rsid w:val="00075C29"/>
    <w:rsid w:val="00076BD2"/>
    <w:rsid w:val="0008024C"/>
    <w:rsid w:val="00080C1C"/>
    <w:rsid w:val="000844C8"/>
    <w:rsid w:val="00084926"/>
    <w:rsid w:val="00086FD0"/>
    <w:rsid w:val="00090115"/>
    <w:rsid w:val="0009033B"/>
    <w:rsid w:val="00090C55"/>
    <w:rsid w:val="000911A0"/>
    <w:rsid w:val="0009181B"/>
    <w:rsid w:val="0009634B"/>
    <w:rsid w:val="000964D1"/>
    <w:rsid w:val="000976FA"/>
    <w:rsid w:val="000A34EA"/>
    <w:rsid w:val="000A481A"/>
    <w:rsid w:val="000A598A"/>
    <w:rsid w:val="000A5E87"/>
    <w:rsid w:val="000A6A8F"/>
    <w:rsid w:val="000B0E1E"/>
    <w:rsid w:val="000B2886"/>
    <w:rsid w:val="000B3D1A"/>
    <w:rsid w:val="000B48F9"/>
    <w:rsid w:val="000B59C0"/>
    <w:rsid w:val="000B5D0D"/>
    <w:rsid w:val="000B63EB"/>
    <w:rsid w:val="000B6EF9"/>
    <w:rsid w:val="000B7C80"/>
    <w:rsid w:val="000C06D6"/>
    <w:rsid w:val="000C4994"/>
    <w:rsid w:val="000C4A21"/>
    <w:rsid w:val="000C6008"/>
    <w:rsid w:val="000D0977"/>
    <w:rsid w:val="000D0BA2"/>
    <w:rsid w:val="000E11E6"/>
    <w:rsid w:val="000E1B5F"/>
    <w:rsid w:val="000E2122"/>
    <w:rsid w:val="000E3550"/>
    <w:rsid w:val="000E3781"/>
    <w:rsid w:val="000E3B91"/>
    <w:rsid w:val="000E4F2A"/>
    <w:rsid w:val="000E629A"/>
    <w:rsid w:val="000E64D8"/>
    <w:rsid w:val="000F0C2F"/>
    <w:rsid w:val="000F508D"/>
    <w:rsid w:val="000F5095"/>
    <w:rsid w:val="000F5DCE"/>
    <w:rsid w:val="000F6F17"/>
    <w:rsid w:val="00100DF1"/>
    <w:rsid w:val="001021FA"/>
    <w:rsid w:val="001022D3"/>
    <w:rsid w:val="001111DB"/>
    <w:rsid w:val="00111DA6"/>
    <w:rsid w:val="0011202A"/>
    <w:rsid w:val="00113372"/>
    <w:rsid w:val="001137ED"/>
    <w:rsid w:val="00114710"/>
    <w:rsid w:val="0011676D"/>
    <w:rsid w:val="001167D8"/>
    <w:rsid w:val="001168F1"/>
    <w:rsid w:val="001179CC"/>
    <w:rsid w:val="00120919"/>
    <w:rsid w:val="00120BA6"/>
    <w:rsid w:val="0012149F"/>
    <w:rsid w:val="0012408A"/>
    <w:rsid w:val="001241DA"/>
    <w:rsid w:val="00126C98"/>
    <w:rsid w:val="00127752"/>
    <w:rsid w:val="00132FF1"/>
    <w:rsid w:val="00133210"/>
    <w:rsid w:val="0013351C"/>
    <w:rsid w:val="00133ECD"/>
    <w:rsid w:val="00134C77"/>
    <w:rsid w:val="00135B2F"/>
    <w:rsid w:val="00135F88"/>
    <w:rsid w:val="00140791"/>
    <w:rsid w:val="00143612"/>
    <w:rsid w:val="00146A16"/>
    <w:rsid w:val="00146F1C"/>
    <w:rsid w:val="0014781F"/>
    <w:rsid w:val="00147BCE"/>
    <w:rsid w:val="00147E97"/>
    <w:rsid w:val="00150673"/>
    <w:rsid w:val="0015131C"/>
    <w:rsid w:val="00151677"/>
    <w:rsid w:val="00152A35"/>
    <w:rsid w:val="001561B7"/>
    <w:rsid w:val="001562CD"/>
    <w:rsid w:val="00156D42"/>
    <w:rsid w:val="00161D7E"/>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6499"/>
    <w:rsid w:val="001B1273"/>
    <w:rsid w:val="001B19D0"/>
    <w:rsid w:val="001B1A43"/>
    <w:rsid w:val="001B20D3"/>
    <w:rsid w:val="001B2C49"/>
    <w:rsid w:val="001B35F5"/>
    <w:rsid w:val="001B3DFD"/>
    <w:rsid w:val="001B4699"/>
    <w:rsid w:val="001B742B"/>
    <w:rsid w:val="001C0E72"/>
    <w:rsid w:val="001C191E"/>
    <w:rsid w:val="001C41D8"/>
    <w:rsid w:val="001C4395"/>
    <w:rsid w:val="001C4492"/>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43F4"/>
    <w:rsid w:val="001F5046"/>
    <w:rsid w:val="001F64CA"/>
    <w:rsid w:val="001F6D82"/>
    <w:rsid w:val="001F73EE"/>
    <w:rsid w:val="001F796C"/>
    <w:rsid w:val="00201FD0"/>
    <w:rsid w:val="00202EBE"/>
    <w:rsid w:val="00205F35"/>
    <w:rsid w:val="0021011E"/>
    <w:rsid w:val="00211A23"/>
    <w:rsid w:val="00213467"/>
    <w:rsid w:val="00215D33"/>
    <w:rsid w:val="00216203"/>
    <w:rsid w:val="00221E62"/>
    <w:rsid w:val="002221C3"/>
    <w:rsid w:val="00222286"/>
    <w:rsid w:val="00223AD9"/>
    <w:rsid w:val="0022446F"/>
    <w:rsid w:val="00224D4B"/>
    <w:rsid w:val="00225BF3"/>
    <w:rsid w:val="0022702D"/>
    <w:rsid w:val="0023132F"/>
    <w:rsid w:val="00231F9A"/>
    <w:rsid w:val="00236FCE"/>
    <w:rsid w:val="0023705D"/>
    <w:rsid w:val="0024062A"/>
    <w:rsid w:val="002417AF"/>
    <w:rsid w:val="00242278"/>
    <w:rsid w:val="0024269B"/>
    <w:rsid w:val="0024550B"/>
    <w:rsid w:val="002456C6"/>
    <w:rsid w:val="002462F7"/>
    <w:rsid w:val="0024765A"/>
    <w:rsid w:val="00247C39"/>
    <w:rsid w:val="0025075B"/>
    <w:rsid w:val="00252D64"/>
    <w:rsid w:val="00252EC0"/>
    <w:rsid w:val="00255A1A"/>
    <w:rsid w:val="00255FF6"/>
    <w:rsid w:val="00256B89"/>
    <w:rsid w:val="00256D7E"/>
    <w:rsid w:val="0026105A"/>
    <w:rsid w:val="002611A3"/>
    <w:rsid w:val="00261319"/>
    <w:rsid w:val="00262B29"/>
    <w:rsid w:val="00263325"/>
    <w:rsid w:val="00264BBB"/>
    <w:rsid w:val="002653F3"/>
    <w:rsid w:val="002655BF"/>
    <w:rsid w:val="00265650"/>
    <w:rsid w:val="00266ABD"/>
    <w:rsid w:val="002718D8"/>
    <w:rsid w:val="00274A61"/>
    <w:rsid w:val="002779ED"/>
    <w:rsid w:val="00280344"/>
    <w:rsid w:val="00281594"/>
    <w:rsid w:val="00281CF0"/>
    <w:rsid w:val="0028273C"/>
    <w:rsid w:val="00282A0C"/>
    <w:rsid w:val="00282C90"/>
    <w:rsid w:val="00284078"/>
    <w:rsid w:val="00284BE2"/>
    <w:rsid w:val="002859B7"/>
    <w:rsid w:val="002868D7"/>
    <w:rsid w:val="00286AAA"/>
    <w:rsid w:val="00287387"/>
    <w:rsid w:val="0028791B"/>
    <w:rsid w:val="00287A83"/>
    <w:rsid w:val="00290E34"/>
    <w:rsid w:val="0029126D"/>
    <w:rsid w:val="00291290"/>
    <w:rsid w:val="00292CAE"/>
    <w:rsid w:val="0029420D"/>
    <w:rsid w:val="002957C0"/>
    <w:rsid w:val="00295EE9"/>
    <w:rsid w:val="00295F0B"/>
    <w:rsid w:val="00295FFE"/>
    <w:rsid w:val="00296129"/>
    <w:rsid w:val="002962EB"/>
    <w:rsid w:val="002A0460"/>
    <w:rsid w:val="002A58CD"/>
    <w:rsid w:val="002A65A7"/>
    <w:rsid w:val="002A71A8"/>
    <w:rsid w:val="002A7E10"/>
    <w:rsid w:val="002B04A0"/>
    <w:rsid w:val="002B1FDF"/>
    <w:rsid w:val="002B33D3"/>
    <w:rsid w:val="002B482C"/>
    <w:rsid w:val="002B7DC7"/>
    <w:rsid w:val="002B7E69"/>
    <w:rsid w:val="002C08CC"/>
    <w:rsid w:val="002C119E"/>
    <w:rsid w:val="002C1640"/>
    <w:rsid w:val="002C24D4"/>
    <w:rsid w:val="002C3F19"/>
    <w:rsid w:val="002C6070"/>
    <w:rsid w:val="002C64C8"/>
    <w:rsid w:val="002D2027"/>
    <w:rsid w:val="002D55FB"/>
    <w:rsid w:val="002D5F1A"/>
    <w:rsid w:val="002E29BE"/>
    <w:rsid w:val="002E3BEA"/>
    <w:rsid w:val="002E3D34"/>
    <w:rsid w:val="002E3EA6"/>
    <w:rsid w:val="002E5DE0"/>
    <w:rsid w:val="002E7366"/>
    <w:rsid w:val="002F031D"/>
    <w:rsid w:val="002F0EC9"/>
    <w:rsid w:val="002F1CB3"/>
    <w:rsid w:val="002F1EC9"/>
    <w:rsid w:val="002F35A3"/>
    <w:rsid w:val="002F373C"/>
    <w:rsid w:val="002F4018"/>
    <w:rsid w:val="002F582F"/>
    <w:rsid w:val="002F69FB"/>
    <w:rsid w:val="002F7AA6"/>
    <w:rsid w:val="00301EED"/>
    <w:rsid w:val="003022AE"/>
    <w:rsid w:val="003038BB"/>
    <w:rsid w:val="00303EF2"/>
    <w:rsid w:val="00305369"/>
    <w:rsid w:val="00306E0E"/>
    <w:rsid w:val="003126AC"/>
    <w:rsid w:val="00315196"/>
    <w:rsid w:val="003166E2"/>
    <w:rsid w:val="003222C0"/>
    <w:rsid w:val="00322661"/>
    <w:rsid w:val="0032269A"/>
    <w:rsid w:val="00322A99"/>
    <w:rsid w:val="00324838"/>
    <w:rsid w:val="003249F2"/>
    <w:rsid w:val="003251C8"/>
    <w:rsid w:val="00326CFA"/>
    <w:rsid w:val="00332454"/>
    <w:rsid w:val="003329CA"/>
    <w:rsid w:val="003334C0"/>
    <w:rsid w:val="00335269"/>
    <w:rsid w:val="00335CAA"/>
    <w:rsid w:val="00335F8B"/>
    <w:rsid w:val="00337AFF"/>
    <w:rsid w:val="00340F66"/>
    <w:rsid w:val="003453F8"/>
    <w:rsid w:val="00345A2D"/>
    <w:rsid w:val="00345E40"/>
    <w:rsid w:val="00346627"/>
    <w:rsid w:val="0034739E"/>
    <w:rsid w:val="0034797F"/>
    <w:rsid w:val="00350347"/>
    <w:rsid w:val="00353792"/>
    <w:rsid w:val="0035462F"/>
    <w:rsid w:val="00354922"/>
    <w:rsid w:val="003550C9"/>
    <w:rsid w:val="003558E4"/>
    <w:rsid w:val="00356C9C"/>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611B"/>
    <w:rsid w:val="003842DB"/>
    <w:rsid w:val="00385091"/>
    <w:rsid w:val="00385C82"/>
    <w:rsid w:val="00385C90"/>
    <w:rsid w:val="00387099"/>
    <w:rsid w:val="003875D8"/>
    <w:rsid w:val="003876CC"/>
    <w:rsid w:val="0039036E"/>
    <w:rsid w:val="00391F32"/>
    <w:rsid w:val="00393B27"/>
    <w:rsid w:val="003940DD"/>
    <w:rsid w:val="0039765B"/>
    <w:rsid w:val="003A069E"/>
    <w:rsid w:val="003A38E1"/>
    <w:rsid w:val="003A407F"/>
    <w:rsid w:val="003A5826"/>
    <w:rsid w:val="003A62E5"/>
    <w:rsid w:val="003A7B78"/>
    <w:rsid w:val="003A7DE4"/>
    <w:rsid w:val="003B0D08"/>
    <w:rsid w:val="003B1EB6"/>
    <w:rsid w:val="003B27E3"/>
    <w:rsid w:val="003B28E2"/>
    <w:rsid w:val="003C10CF"/>
    <w:rsid w:val="003C11DB"/>
    <w:rsid w:val="003C1BD7"/>
    <w:rsid w:val="003C3058"/>
    <w:rsid w:val="003C359C"/>
    <w:rsid w:val="003C3B6A"/>
    <w:rsid w:val="003C53B8"/>
    <w:rsid w:val="003C6770"/>
    <w:rsid w:val="003C7BBA"/>
    <w:rsid w:val="003D4566"/>
    <w:rsid w:val="003D6DAF"/>
    <w:rsid w:val="003E29F5"/>
    <w:rsid w:val="003E3BD5"/>
    <w:rsid w:val="003E45F5"/>
    <w:rsid w:val="003E4D30"/>
    <w:rsid w:val="003E5159"/>
    <w:rsid w:val="003E5681"/>
    <w:rsid w:val="003E5784"/>
    <w:rsid w:val="003E6A6B"/>
    <w:rsid w:val="003E6FFD"/>
    <w:rsid w:val="003F1232"/>
    <w:rsid w:val="003F1BBF"/>
    <w:rsid w:val="003F24F0"/>
    <w:rsid w:val="003F481B"/>
    <w:rsid w:val="003F6C76"/>
    <w:rsid w:val="003F7487"/>
    <w:rsid w:val="004036B0"/>
    <w:rsid w:val="004079CD"/>
    <w:rsid w:val="00410A5A"/>
    <w:rsid w:val="004121A5"/>
    <w:rsid w:val="004128BE"/>
    <w:rsid w:val="004137A2"/>
    <w:rsid w:val="00413932"/>
    <w:rsid w:val="00414CB0"/>
    <w:rsid w:val="0041569E"/>
    <w:rsid w:val="00417265"/>
    <w:rsid w:val="00420A18"/>
    <w:rsid w:val="004210D4"/>
    <w:rsid w:val="00422E99"/>
    <w:rsid w:val="00424A87"/>
    <w:rsid w:val="004258FD"/>
    <w:rsid w:val="0043547B"/>
    <w:rsid w:val="00435DD0"/>
    <w:rsid w:val="004361F5"/>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1539"/>
    <w:rsid w:val="00461582"/>
    <w:rsid w:val="004643FE"/>
    <w:rsid w:val="00464C13"/>
    <w:rsid w:val="0046605F"/>
    <w:rsid w:val="004678EC"/>
    <w:rsid w:val="00470B6A"/>
    <w:rsid w:val="0047220A"/>
    <w:rsid w:val="00472F48"/>
    <w:rsid w:val="00473B80"/>
    <w:rsid w:val="00475CB6"/>
    <w:rsid w:val="004766B3"/>
    <w:rsid w:val="00477539"/>
    <w:rsid w:val="00480400"/>
    <w:rsid w:val="0048046C"/>
    <w:rsid w:val="00481400"/>
    <w:rsid w:val="00481E81"/>
    <w:rsid w:val="00485E12"/>
    <w:rsid w:val="004860B6"/>
    <w:rsid w:val="00486C68"/>
    <w:rsid w:val="00490571"/>
    <w:rsid w:val="0049091E"/>
    <w:rsid w:val="00491791"/>
    <w:rsid w:val="00491BCF"/>
    <w:rsid w:val="00492B7C"/>
    <w:rsid w:val="00492C73"/>
    <w:rsid w:val="004930E6"/>
    <w:rsid w:val="00495714"/>
    <w:rsid w:val="004957E2"/>
    <w:rsid w:val="004959D0"/>
    <w:rsid w:val="00496B42"/>
    <w:rsid w:val="004A1192"/>
    <w:rsid w:val="004A246E"/>
    <w:rsid w:val="004A2494"/>
    <w:rsid w:val="004A2A35"/>
    <w:rsid w:val="004A455E"/>
    <w:rsid w:val="004A5D67"/>
    <w:rsid w:val="004A7788"/>
    <w:rsid w:val="004B235B"/>
    <w:rsid w:val="004B3AEB"/>
    <w:rsid w:val="004B4C55"/>
    <w:rsid w:val="004B5B96"/>
    <w:rsid w:val="004B6E94"/>
    <w:rsid w:val="004C012E"/>
    <w:rsid w:val="004C3A44"/>
    <w:rsid w:val="004C5958"/>
    <w:rsid w:val="004C7594"/>
    <w:rsid w:val="004C7922"/>
    <w:rsid w:val="004D0782"/>
    <w:rsid w:val="004D30B7"/>
    <w:rsid w:val="004D6E06"/>
    <w:rsid w:val="004D7A1C"/>
    <w:rsid w:val="004E0883"/>
    <w:rsid w:val="004E16D3"/>
    <w:rsid w:val="004E19EC"/>
    <w:rsid w:val="004E2CCC"/>
    <w:rsid w:val="004E4BC1"/>
    <w:rsid w:val="004E65AB"/>
    <w:rsid w:val="004E70AA"/>
    <w:rsid w:val="004E7520"/>
    <w:rsid w:val="004E7952"/>
    <w:rsid w:val="004F0254"/>
    <w:rsid w:val="004F0A27"/>
    <w:rsid w:val="004F0B14"/>
    <w:rsid w:val="004F1C70"/>
    <w:rsid w:val="004F230C"/>
    <w:rsid w:val="004F3529"/>
    <w:rsid w:val="004F3EA7"/>
    <w:rsid w:val="004F437C"/>
    <w:rsid w:val="004F4F22"/>
    <w:rsid w:val="004F7C9A"/>
    <w:rsid w:val="0050090E"/>
    <w:rsid w:val="00500D6C"/>
    <w:rsid w:val="005022DB"/>
    <w:rsid w:val="005023C6"/>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94B"/>
    <w:rsid w:val="00534B84"/>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244F"/>
    <w:rsid w:val="00566E7B"/>
    <w:rsid w:val="00566F05"/>
    <w:rsid w:val="00567D27"/>
    <w:rsid w:val="005700F9"/>
    <w:rsid w:val="005721D3"/>
    <w:rsid w:val="00572228"/>
    <w:rsid w:val="00574DC2"/>
    <w:rsid w:val="00581EC7"/>
    <w:rsid w:val="00582F80"/>
    <w:rsid w:val="00585213"/>
    <w:rsid w:val="00585D87"/>
    <w:rsid w:val="00586950"/>
    <w:rsid w:val="00586EF0"/>
    <w:rsid w:val="00587A70"/>
    <w:rsid w:val="00590BF1"/>
    <w:rsid w:val="00591D0A"/>
    <w:rsid w:val="00593BDE"/>
    <w:rsid w:val="00593D56"/>
    <w:rsid w:val="0059460B"/>
    <w:rsid w:val="00596091"/>
    <w:rsid w:val="00596FB4"/>
    <w:rsid w:val="00597F44"/>
    <w:rsid w:val="005A0846"/>
    <w:rsid w:val="005A159A"/>
    <w:rsid w:val="005A2B1E"/>
    <w:rsid w:val="005A3150"/>
    <w:rsid w:val="005A3D6E"/>
    <w:rsid w:val="005A671B"/>
    <w:rsid w:val="005A7095"/>
    <w:rsid w:val="005A72CA"/>
    <w:rsid w:val="005A7840"/>
    <w:rsid w:val="005A7A43"/>
    <w:rsid w:val="005B17AB"/>
    <w:rsid w:val="005B37F4"/>
    <w:rsid w:val="005B43EF"/>
    <w:rsid w:val="005B446E"/>
    <w:rsid w:val="005B45A4"/>
    <w:rsid w:val="005B4625"/>
    <w:rsid w:val="005B67C6"/>
    <w:rsid w:val="005C0812"/>
    <w:rsid w:val="005C21F4"/>
    <w:rsid w:val="005C3825"/>
    <w:rsid w:val="005C41F4"/>
    <w:rsid w:val="005C5C5B"/>
    <w:rsid w:val="005C612C"/>
    <w:rsid w:val="005C68E9"/>
    <w:rsid w:val="005C735C"/>
    <w:rsid w:val="005C78E2"/>
    <w:rsid w:val="005D010D"/>
    <w:rsid w:val="005D2711"/>
    <w:rsid w:val="005E0047"/>
    <w:rsid w:val="005E06C9"/>
    <w:rsid w:val="005E10A6"/>
    <w:rsid w:val="005E1524"/>
    <w:rsid w:val="005E1C79"/>
    <w:rsid w:val="005E3720"/>
    <w:rsid w:val="005E4211"/>
    <w:rsid w:val="005E4A14"/>
    <w:rsid w:val="005E56FA"/>
    <w:rsid w:val="005E5CDD"/>
    <w:rsid w:val="005F5446"/>
    <w:rsid w:val="005F58BA"/>
    <w:rsid w:val="005F5CA0"/>
    <w:rsid w:val="005F647D"/>
    <w:rsid w:val="005F7D58"/>
    <w:rsid w:val="00600229"/>
    <w:rsid w:val="00601394"/>
    <w:rsid w:val="00601BEB"/>
    <w:rsid w:val="00602DE8"/>
    <w:rsid w:val="00603AA4"/>
    <w:rsid w:val="00603E3C"/>
    <w:rsid w:val="006055F7"/>
    <w:rsid w:val="00606AFC"/>
    <w:rsid w:val="006073E2"/>
    <w:rsid w:val="00607497"/>
    <w:rsid w:val="006130EA"/>
    <w:rsid w:val="0061454C"/>
    <w:rsid w:val="0061730C"/>
    <w:rsid w:val="00620D92"/>
    <w:rsid w:val="00621E40"/>
    <w:rsid w:val="00624DB2"/>
    <w:rsid w:val="00624EEC"/>
    <w:rsid w:val="00624F77"/>
    <w:rsid w:val="0062527E"/>
    <w:rsid w:val="006332C3"/>
    <w:rsid w:val="006337F0"/>
    <w:rsid w:val="006338EA"/>
    <w:rsid w:val="00634207"/>
    <w:rsid w:val="00634CF2"/>
    <w:rsid w:val="0063675F"/>
    <w:rsid w:val="0063714C"/>
    <w:rsid w:val="00637F81"/>
    <w:rsid w:val="0064371D"/>
    <w:rsid w:val="00643BD5"/>
    <w:rsid w:val="0064500D"/>
    <w:rsid w:val="00647817"/>
    <w:rsid w:val="006479AD"/>
    <w:rsid w:val="00650C59"/>
    <w:rsid w:val="00651E62"/>
    <w:rsid w:val="0065215D"/>
    <w:rsid w:val="00652802"/>
    <w:rsid w:val="00653D09"/>
    <w:rsid w:val="006540AC"/>
    <w:rsid w:val="006543E5"/>
    <w:rsid w:val="00654522"/>
    <w:rsid w:val="006546A4"/>
    <w:rsid w:val="006558DE"/>
    <w:rsid w:val="006607BA"/>
    <w:rsid w:val="00660AC2"/>
    <w:rsid w:val="0066279B"/>
    <w:rsid w:val="0066298E"/>
    <w:rsid w:val="00663AB8"/>
    <w:rsid w:val="00663B22"/>
    <w:rsid w:val="00665989"/>
    <w:rsid w:val="0066717A"/>
    <w:rsid w:val="00667E29"/>
    <w:rsid w:val="0067237A"/>
    <w:rsid w:val="006723C3"/>
    <w:rsid w:val="0067324D"/>
    <w:rsid w:val="006743DF"/>
    <w:rsid w:val="00675FAF"/>
    <w:rsid w:val="00680E7D"/>
    <w:rsid w:val="006845AA"/>
    <w:rsid w:val="006845F7"/>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6FC5"/>
    <w:rsid w:val="006B1F28"/>
    <w:rsid w:val="006B316A"/>
    <w:rsid w:val="006B4021"/>
    <w:rsid w:val="006B44D0"/>
    <w:rsid w:val="006B45F1"/>
    <w:rsid w:val="006B51AC"/>
    <w:rsid w:val="006B5965"/>
    <w:rsid w:val="006B696B"/>
    <w:rsid w:val="006C261C"/>
    <w:rsid w:val="006C2726"/>
    <w:rsid w:val="006C2E54"/>
    <w:rsid w:val="006C37F6"/>
    <w:rsid w:val="006C714B"/>
    <w:rsid w:val="006D059D"/>
    <w:rsid w:val="006D2165"/>
    <w:rsid w:val="006D3DF5"/>
    <w:rsid w:val="006D482D"/>
    <w:rsid w:val="006D5269"/>
    <w:rsid w:val="006D59E7"/>
    <w:rsid w:val="006E1536"/>
    <w:rsid w:val="006E6069"/>
    <w:rsid w:val="006E6072"/>
    <w:rsid w:val="006E611C"/>
    <w:rsid w:val="006E67A7"/>
    <w:rsid w:val="006E7D14"/>
    <w:rsid w:val="006F0E41"/>
    <w:rsid w:val="006F1431"/>
    <w:rsid w:val="006F1673"/>
    <w:rsid w:val="006F1D95"/>
    <w:rsid w:val="006F2734"/>
    <w:rsid w:val="006F3515"/>
    <w:rsid w:val="006F42EE"/>
    <w:rsid w:val="006F430A"/>
    <w:rsid w:val="006F4890"/>
    <w:rsid w:val="006F5FE0"/>
    <w:rsid w:val="006F6BAD"/>
    <w:rsid w:val="006F7E03"/>
    <w:rsid w:val="007007A1"/>
    <w:rsid w:val="0070125A"/>
    <w:rsid w:val="00702CF1"/>
    <w:rsid w:val="007031B1"/>
    <w:rsid w:val="00703A83"/>
    <w:rsid w:val="007043E0"/>
    <w:rsid w:val="00704E63"/>
    <w:rsid w:val="00706EF9"/>
    <w:rsid w:val="00707929"/>
    <w:rsid w:val="00710DDE"/>
    <w:rsid w:val="007146CD"/>
    <w:rsid w:val="0071520F"/>
    <w:rsid w:val="00716B50"/>
    <w:rsid w:val="0072113B"/>
    <w:rsid w:val="00722B11"/>
    <w:rsid w:val="00723601"/>
    <w:rsid w:val="00723820"/>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2638"/>
    <w:rsid w:val="0074305D"/>
    <w:rsid w:val="007433AA"/>
    <w:rsid w:val="00743666"/>
    <w:rsid w:val="00745637"/>
    <w:rsid w:val="00745F86"/>
    <w:rsid w:val="00746805"/>
    <w:rsid w:val="00746C15"/>
    <w:rsid w:val="00747672"/>
    <w:rsid w:val="00753EE1"/>
    <w:rsid w:val="00754480"/>
    <w:rsid w:val="00754E31"/>
    <w:rsid w:val="007562DB"/>
    <w:rsid w:val="00756403"/>
    <w:rsid w:val="00756650"/>
    <w:rsid w:val="00761F12"/>
    <w:rsid w:val="00762EED"/>
    <w:rsid w:val="00762F12"/>
    <w:rsid w:val="007663B9"/>
    <w:rsid w:val="007674FD"/>
    <w:rsid w:val="00770CC9"/>
    <w:rsid w:val="007711E5"/>
    <w:rsid w:val="007739D8"/>
    <w:rsid w:val="00774025"/>
    <w:rsid w:val="00774586"/>
    <w:rsid w:val="0077469D"/>
    <w:rsid w:val="0077473A"/>
    <w:rsid w:val="007752AE"/>
    <w:rsid w:val="00775696"/>
    <w:rsid w:val="00777EA0"/>
    <w:rsid w:val="00781B22"/>
    <w:rsid w:val="00782470"/>
    <w:rsid w:val="00782715"/>
    <w:rsid w:val="00782E6F"/>
    <w:rsid w:val="00784596"/>
    <w:rsid w:val="0078493B"/>
    <w:rsid w:val="007873AA"/>
    <w:rsid w:val="00787D3E"/>
    <w:rsid w:val="007904AD"/>
    <w:rsid w:val="0079241A"/>
    <w:rsid w:val="00793B03"/>
    <w:rsid w:val="0079582C"/>
    <w:rsid w:val="00795EE1"/>
    <w:rsid w:val="00795F3B"/>
    <w:rsid w:val="007A0816"/>
    <w:rsid w:val="007A0915"/>
    <w:rsid w:val="007A18C7"/>
    <w:rsid w:val="007A3A47"/>
    <w:rsid w:val="007A6565"/>
    <w:rsid w:val="007B5823"/>
    <w:rsid w:val="007B6F92"/>
    <w:rsid w:val="007B7018"/>
    <w:rsid w:val="007B75DD"/>
    <w:rsid w:val="007C1606"/>
    <w:rsid w:val="007C16B8"/>
    <w:rsid w:val="007C26DD"/>
    <w:rsid w:val="007C3759"/>
    <w:rsid w:val="007C4C48"/>
    <w:rsid w:val="007C6CA3"/>
    <w:rsid w:val="007C780F"/>
    <w:rsid w:val="007D4154"/>
    <w:rsid w:val="007D6B08"/>
    <w:rsid w:val="007D6C86"/>
    <w:rsid w:val="007E1614"/>
    <w:rsid w:val="007E19AA"/>
    <w:rsid w:val="007E2293"/>
    <w:rsid w:val="007E2EB6"/>
    <w:rsid w:val="007E46A4"/>
    <w:rsid w:val="007E4860"/>
    <w:rsid w:val="007E4C38"/>
    <w:rsid w:val="007E5D9E"/>
    <w:rsid w:val="007E67CF"/>
    <w:rsid w:val="007E7051"/>
    <w:rsid w:val="007F2910"/>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272AA"/>
    <w:rsid w:val="008314B3"/>
    <w:rsid w:val="00834855"/>
    <w:rsid w:val="008374DD"/>
    <w:rsid w:val="008379BF"/>
    <w:rsid w:val="0084005C"/>
    <w:rsid w:val="00840B55"/>
    <w:rsid w:val="008413E8"/>
    <w:rsid w:val="0084236A"/>
    <w:rsid w:val="008428EE"/>
    <w:rsid w:val="00842A9E"/>
    <w:rsid w:val="00843244"/>
    <w:rsid w:val="00845712"/>
    <w:rsid w:val="008479FB"/>
    <w:rsid w:val="00850CE9"/>
    <w:rsid w:val="008529C8"/>
    <w:rsid w:val="00855280"/>
    <w:rsid w:val="00856583"/>
    <w:rsid w:val="008565E8"/>
    <w:rsid w:val="00860F3F"/>
    <w:rsid w:val="008615D2"/>
    <w:rsid w:val="0086160E"/>
    <w:rsid w:val="00862774"/>
    <w:rsid w:val="00862ADB"/>
    <w:rsid w:val="00863730"/>
    <w:rsid w:val="008637C6"/>
    <w:rsid w:val="0087072E"/>
    <w:rsid w:val="0087129D"/>
    <w:rsid w:val="00871CCA"/>
    <w:rsid w:val="00874C3E"/>
    <w:rsid w:val="00875F1A"/>
    <w:rsid w:val="00876315"/>
    <w:rsid w:val="00876D3A"/>
    <w:rsid w:val="00877050"/>
    <w:rsid w:val="00880164"/>
    <w:rsid w:val="00880528"/>
    <w:rsid w:val="0088164F"/>
    <w:rsid w:val="008828C3"/>
    <w:rsid w:val="0088322F"/>
    <w:rsid w:val="00883DB5"/>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5C2F"/>
    <w:rsid w:val="008B77EF"/>
    <w:rsid w:val="008B7D71"/>
    <w:rsid w:val="008C0C8E"/>
    <w:rsid w:val="008C1279"/>
    <w:rsid w:val="008C15D3"/>
    <w:rsid w:val="008C2EB7"/>
    <w:rsid w:val="008C506B"/>
    <w:rsid w:val="008C5F53"/>
    <w:rsid w:val="008C6416"/>
    <w:rsid w:val="008D1AB0"/>
    <w:rsid w:val="008D1BBB"/>
    <w:rsid w:val="008D1F8C"/>
    <w:rsid w:val="008D3545"/>
    <w:rsid w:val="008D4986"/>
    <w:rsid w:val="008D4A71"/>
    <w:rsid w:val="008E1D62"/>
    <w:rsid w:val="008E2E54"/>
    <w:rsid w:val="008E42DC"/>
    <w:rsid w:val="008E46FE"/>
    <w:rsid w:val="008E62E7"/>
    <w:rsid w:val="008E6774"/>
    <w:rsid w:val="008E68C5"/>
    <w:rsid w:val="008E7C2B"/>
    <w:rsid w:val="008F1F22"/>
    <w:rsid w:val="008F1FB6"/>
    <w:rsid w:val="008F23D2"/>
    <w:rsid w:val="008F2B32"/>
    <w:rsid w:val="008F3490"/>
    <w:rsid w:val="008F44F8"/>
    <w:rsid w:val="008F45D4"/>
    <w:rsid w:val="008F500B"/>
    <w:rsid w:val="008F6D30"/>
    <w:rsid w:val="008F7880"/>
    <w:rsid w:val="00900B36"/>
    <w:rsid w:val="00902376"/>
    <w:rsid w:val="009036F3"/>
    <w:rsid w:val="00904C64"/>
    <w:rsid w:val="00906436"/>
    <w:rsid w:val="0091084B"/>
    <w:rsid w:val="00911183"/>
    <w:rsid w:val="0091400D"/>
    <w:rsid w:val="00914E1C"/>
    <w:rsid w:val="0091538E"/>
    <w:rsid w:val="0091779D"/>
    <w:rsid w:val="009221D0"/>
    <w:rsid w:val="00925371"/>
    <w:rsid w:val="0092637F"/>
    <w:rsid w:val="009273DA"/>
    <w:rsid w:val="00930C9D"/>
    <w:rsid w:val="0093164E"/>
    <w:rsid w:val="0093166C"/>
    <w:rsid w:val="00931F0D"/>
    <w:rsid w:val="009335BC"/>
    <w:rsid w:val="009353B6"/>
    <w:rsid w:val="00935711"/>
    <w:rsid w:val="0093606E"/>
    <w:rsid w:val="00936936"/>
    <w:rsid w:val="00936AD8"/>
    <w:rsid w:val="00936CAD"/>
    <w:rsid w:val="0094022E"/>
    <w:rsid w:val="00942007"/>
    <w:rsid w:val="00945DEF"/>
    <w:rsid w:val="00946542"/>
    <w:rsid w:val="0094698D"/>
    <w:rsid w:val="00950797"/>
    <w:rsid w:val="00950EDD"/>
    <w:rsid w:val="00952A16"/>
    <w:rsid w:val="00953DEE"/>
    <w:rsid w:val="0095425F"/>
    <w:rsid w:val="00955D8A"/>
    <w:rsid w:val="00957DA3"/>
    <w:rsid w:val="009602E5"/>
    <w:rsid w:val="00960EE8"/>
    <w:rsid w:val="00961E6F"/>
    <w:rsid w:val="00962C84"/>
    <w:rsid w:val="00964EBE"/>
    <w:rsid w:val="00965D17"/>
    <w:rsid w:val="00967958"/>
    <w:rsid w:val="009735C1"/>
    <w:rsid w:val="009746DB"/>
    <w:rsid w:val="00975047"/>
    <w:rsid w:val="00975743"/>
    <w:rsid w:val="009760F7"/>
    <w:rsid w:val="00976FAE"/>
    <w:rsid w:val="0098142C"/>
    <w:rsid w:val="0098396B"/>
    <w:rsid w:val="00983ACA"/>
    <w:rsid w:val="009843CD"/>
    <w:rsid w:val="00986915"/>
    <w:rsid w:val="009902FA"/>
    <w:rsid w:val="009914CC"/>
    <w:rsid w:val="00991E0F"/>
    <w:rsid w:val="00996F59"/>
    <w:rsid w:val="009A2A07"/>
    <w:rsid w:val="009A3AF6"/>
    <w:rsid w:val="009A60D5"/>
    <w:rsid w:val="009A60EF"/>
    <w:rsid w:val="009A6C43"/>
    <w:rsid w:val="009B1D74"/>
    <w:rsid w:val="009B2E76"/>
    <w:rsid w:val="009B3AAF"/>
    <w:rsid w:val="009B6A30"/>
    <w:rsid w:val="009C0850"/>
    <w:rsid w:val="009C1723"/>
    <w:rsid w:val="009C226B"/>
    <w:rsid w:val="009C4FAE"/>
    <w:rsid w:val="009C51E2"/>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B15"/>
    <w:rsid w:val="009F4F5B"/>
    <w:rsid w:val="009F6DD1"/>
    <w:rsid w:val="009F7363"/>
    <w:rsid w:val="009F7983"/>
    <w:rsid w:val="009F7AF9"/>
    <w:rsid w:val="00A0037E"/>
    <w:rsid w:val="00A004D5"/>
    <w:rsid w:val="00A018E0"/>
    <w:rsid w:val="00A04F9B"/>
    <w:rsid w:val="00A057AF"/>
    <w:rsid w:val="00A05D26"/>
    <w:rsid w:val="00A060E3"/>
    <w:rsid w:val="00A06433"/>
    <w:rsid w:val="00A06778"/>
    <w:rsid w:val="00A06800"/>
    <w:rsid w:val="00A0685D"/>
    <w:rsid w:val="00A06A85"/>
    <w:rsid w:val="00A075B8"/>
    <w:rsid w:val="00A11EB8"/>
    <w:rsid w:val="00A1307E"/>
    <w:rsid w:val="00A13A6D"/>
    <w:rsid w:val="00A15FAD"/>
    <w:rsid w:val="00A165FD"/>
    <w:rsid w:val="00A169B1"/>
    <w:rsid w:val="00A1792F"/>
    <w:rsid w:val="00A21A8F"/>
    <w:rsid w:val="00A233C9"/>
    <w:rsid w:val="00A30CB0"/>
    <w:rsid w:val="00A31C22"/>
    <w:rsid w:val="00A31DFB"/>
    <w:rsid w:val="00A33297"/>
    <w:rsid w:val="00A33A3C"/>
    <w:rsid w:val="00A35E79"/>
    <w:rsid w:val="00A37B5D"/>
    <w:rsid w:val="00A410B4"/>
    <w:rsid w:val="00A417CF"/>
    <w:rsid w:val="00A424FC"/>
    <w:rsid w:val="00A4305A"/>
    <w:rsid w:val="00A437BE"/>
    <w:rsid w:val="00A45F30"/>
    <w:rsid w:val="00A501DB"/>
    <w:rsid w:val="00A51C7D"/>
    <w:rsid w:val="00A53F5E"/>
    <w:rsid w:val="00A55A62"/>
    <w:rsid w:val="00A56D30"/>
    <w:rsid w:val="00A57C13"/>
    <w:rsid w:val="00A606B1"/>
    <w:rsid w:val="00A62DB3"/>
    <w:rsid w:val="00A64E55"/>
    <w:rsid w:val="00A650CC"/>
    <w:rsid w:val="00A65266"/>
    <w:rsid w:val="00A65302"/>
    <w:rsid w:val="00A653F7"/>
    <w:rsid w:val="00A676C3"/>
    <w:rsid w:val="00A67C92"/>
    <w:rsid w:val="00A71428"/>
    <w:rsid w:val="00A74D1F"/>
    <w:rsid w:val="00A76473"/>
    <w:rsid w:val="00A769AA"/>
    <w:rsid w:val="00A774F2"/>
    <w:rsid w:val="00A77F81"/>
    <w:rsid w:val="00A81E59"/>
    <w:rsid w:val="00A82FDF"/>
    <w:rsid w:val="00A84CBC"/>
    <w:rsid w:val="00A8538C"/>
    <w:rsid w:val="00A85D93"/>
    <w:rsid w:val="00A86DB6"/>
    <w:rsid w:val="00A87300"/>
    <w:rsid w:val="00A91154"/>
    <w:rsid w:val="00A93552"/>
    <w:rsid w:val="00A93B51"/>
    <w:rsid w:val="00A93CE7"/>
    <w:rsid w:val="00A94414"/>
    <w:rsid w:val="00A94B37"/>
    <w:rsid w:val="00A95B80"/>
    <w:rsid w:val="00A975A1"/>
    <w:rsid w:val="00A97611"/>
    <w:rsid w:val="00A97A0C"/>
    <w:rsid w:val="00AA152F"/>
    <w:rsid w:val="00AA1B84"/>
    <w:rsid w:val="00AB09AE"/>
    <w:rsid w:val="00AB2D6F"/>
    <w:rsid w:val="00AB60DD"/>
    <w:rsid w:val="00AC3A61"/>
    <w:rsid w:val="00AC432D"/>
    <w:rsid w:val="00AC55A9"/>
    <w:rsid w:val="00AC6C05"/>
    <w:rsid w:val="00AD02C5"/>
    <w:rsid w:val="00AD06C3"/>
    <w:rsid w:val="00AD1949"/>
    <w:rsid w:val="00AD1B3A"/>
    <w:rsid w:val="00AD2289"/>
    <w:rsid w:val="00AD4EB2"/>
    <w:rsid w:val="00AD6F72"/>
    <w:rsid w:val="00AE02DC"/>
    <w:rsid w:val="00AE10A7"/>
    <w:rsid w:val="00AE1AD3"/>
    <w:rsid w:val="00AE560F"/>
    <w:rsid w:val="00AE648B"/>
    <w:rsid w:val="00AE7BA2"/>
    <w:rsid w:val="00AF2324"/>
    <w:rsid w:val="00AF4067"/>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17DC"/>
    <w:rsid w:val="00B236C9"/>
    <w:rsid w:val="00B23BEF"/>
    <w:rsid w:val="00B242E6"/>
    <w:rsid w:val="00B266CC"/>
    <w:rsid w:val="00B271A1"/>
    <w:rsid w:val="00B27576"/>
    <w:rsid w:val="00B31D52"/>
    <w:rsid w:val="00B34122"/>
    <w:rsid w:val="00B36208"/>
    <w:rsid w:val="00B36866"/>
    <w:rsid w:val="00B36C92"/>
    <w:rsid w:val="00B41853"/>
    <w:rsid w:val="00B41B24"/>
    <w:rsid w:val="00B430CF"/>
    <w:rsid w:val="00B43D5F"/>
    <w:rsid w:val="00B45E1F"/>
    <w:rsid w:val="00B46333"/>
    <w:rsid w:val="00B46EE0"/>
    <w:rsid w:val="00B50342"/>
    <w:rsid w:val="00B53999"/>
    <w:rsid w:val="00B54909"/>
    <w:rsid w:val="00B54FC5"/>
    <w:rsid w:val="00B56EB1"/>
    <w:rsid w:val="00B5788C"/>
    <w:rsid w:val="00B60CF5"/>
    <w:rsid w:val="00B62BDA"/>
    <w:rsid w:val="00B6359D"/>
    <w:rsid w:val="00B6521E"/>
    <w:rsid w:val="00B655AD"/>
    <w:rsid w:val="00B65F03"/>
    <w:rsid w:val="00B674F9"/>
    <w:rsid w:val="00B6788B"/>
    <w:rsid w:val="00B7337B"/>
    <w:rsid w:val="00B734E2"/>
    <w:rsid w:val="00B73776"/>
    <w:rsid w:val="00B745B7"/>
    <w:rsid w:val="00B74ACE"/>
    <w:rsid w:val="00B74B80"/>
    <w:rsid w:val="00B7653D"/>
    <w:rsid w:val="00B77E6D"/>
    <w:rsid w:val="00B810FC"/>
    <w:rsid w:val="00B8178D"/>
    <w:rsid w:val="00B81A07"/>
    <w:rsid w:val="00B823CB"/>
    <w:rsid w:val="00B82FC8"/>
    <w:rsid w:val="00B83CE1"/>
    <w:rsid w:val="00B84151"/>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4E40"/>
    <w:rsid w:val="00BB5A5C"/>
    <w:rsid w:val="00BC0551"/>
    <w:rsid w:val="00BC0EC1"/>
    <w:rsid w:val="00BC1F01"/>
    <w:rsid w:val="00BD0E41"/>
    <w:rsid w:val="00BD3454"/>
    <w:rsid w:val="00BD34FC"/>
    <w:rsid w:val="00BD3B5D"/>
    <w:rsid w:val="00BD42AE"/>
    <w:rsid w:val="00BD54CE"/>
    <w:rsid w:val="00BD57C6"/>
    <w:rsid w:val="00BD64F4"/>
    <w:rsid w:val="00BD757B"/>
    <w:rsid w:val="00BD781C"/>
    <w:rsid w:val="00BE0596"/>
    <w:rsid w:val="00BE0F09"/>
    <w:rsid w:val="00BE1976"/>
    <w:rsid w:val="00BE389F"/>
    <w:rsid w:val="00BE4823"/>
    <w:rsid w:val="00BE50CA"/>
    <w:rsid w:val="00BE5D09"/>
    <w:rsid w:val="00BF0B89"/>
    <w:rsid w:val="00BF2D1A"/>
    <w:rsid w:val="00BF2DFC"/>
    <w:rsid w:val="00BF3356"/>
    <w:rsid w:val="00BF37B2"/>
    <w:rsid w:val="00BF4A3E"/>
    <w:rsid w:val="00BF53F1"/>
    <w:rsid w:val="00C00F95"/>
    <w:rsid w:val="00C01CDB"/>
    <w:rsid w:val="00C02EA7"/>
    <w:rsid w:val="00C0401A"/>
    <w:rsid w:val="00C04EDA"/>
    <w:rsid w:val="00C0585A"/>
    <w:rsid w:val="00C05A9C"/>
    <w:rsid w:val="00C05B54"/>
    <w:rsid w:val="00C05E97"/>
    <w:rsid w:val="00C06B80"/>
    <w:rsid w:val="00C0707A"/>
    <w:rsid w:val="00C115F9"/>
    <w:rsid w:val="00C11FA0"/>
    <w:rsid w:val="00C13FD5"/>
    <w:rsid w:val="00C1582F"/>
    <w:rsid w:val="00C20044"/>
    <w:rsid w:val="00C207E5"/>
    <w:rsid w:val="00C20B9C"/>
    <w:rsid w:val="00C222E9"/>
    <w:rsid w:val="00C22B1F"/>
    <w:rsid w:val="00C23204"/>
    <w:rsid w:val="00C24637"/>
    <w:rsid w:val="00C25714"/>
    <w:rsid w:val="00C25B87"/>
    <w:rsid w:val="00C26029"/>
    <w:rsid w:val="00C26EFD"/>
    <w:rsid w:val="00C40BB8"/>
    <w:rsid w:val="00C45272"/>
    <w:rsid w:val="00C45853"/>
    <w:rsid w:val="00C45E61"/>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87A01"/>
    <w:rsid w:val="00C900CA"/>
    <w:rsid w:val="00C900D6"/>
    <w:rsid w:val="00C91BB6"/>
    <w:rsid w:val="00C91FAB"/>
    <w:rsid w:val="00C91FB3"/>
    <w:rsid w:val="00C92493"/>
    <w:rsid w:val="00C93990"/>
    <w:rsid w:val="00C93DC9"/>
    <w:rsid w:val="00C956E4"/>
    <w:rsid w:val="00C95CFB"/>
    <w:rsid w:val="00C96F14"/>
    <w:rsid w:val="00CA0457"/>
    <w:rsid w:val="00CA0787"/>
    <w:rsid w:val="00CA1191"/>
    <w:rsid w:val="00CA3260"/>
    <w:rsid w:val="00CA4DA7"/>
    <w:rsid w:val="00CA4F91"/>
    <w:rsid w:val="00CA5281"/>
    <w:rsid w:val="00CA560C"/>
    <w:rsid w:val="00CA7746"/>
    <w:rsid w:val="00CB0E54"/>
    <w:rsid w:val="00CB207A"/>
    <w:rsid w:val="00CB3E12"/>
    <w:rsid w:val="00CB6536"/>
    <w:rsid w:val="00CB6728"/>
    <w:rsid w:val="00CB72C0"/>
    <w:rsid w:val="00CC0203"/>
    <w:rsid w:val="00CC0665"/>
    <w:rsid w:val="00CC12C5"/>
    <w:rsid w:val="00CC1F1C"/>
    <w:rsid w:val="00CC1FC3"/>
    <w:rsid w:val="00CC214B"/>
    <w:rsid w:val="00CC2FAF"/>
    <w:rsid w:val="00CC35B6"/>
    <w:rsid w:val="00CC3781"/>
    <w:rsid w:val="00CC40CE"/>
    <w:rsid w:val="00CC51FF"/>
    <w:rsid w:val="00CC5945"/>
    <w:rsid w:val="00CC5E44"/>
    <w:rsid w:val="00CC6055"/>
    <w:rsid w:val="00CC6C4B"/>
    <w:rsid w:val="00CD05C2"/>
    <w:rsid w:val="00CD08DA"/>
    <w:rsid w:val="00CD1E08"/>
    <w:rsid w:val="00CD2131"/>
    <w:rsid w:val="00CD22BB"/>
    <w:rsid w:val="00CD25E3"/>
    <w:rsid w:val="00CD2955"/>
    <w:rsid w:val="00CD6583"/>
    <w:rsid w:val="00CD7C41"/>
    <w:rsid w:val="00CE07E2"/>
    <w:rsid w:val="00CE1CDF"/>
    <w:rsid w:val="00CE25DA"/>
    <w:rsid w:val="00CE2F9C"/>
    <w:rsid w:val="00CE305A"/>
    <w:rsid w:val="00CE3145"/>
    <w:rsid w:val="00CE33FF"/>
    <w:rsid w:val="00CE6589"/>
    <w:rsid w:val="00CF0B19"/>
    <w:rsid w:val="00CF7A7E"/>
    <w:rsid w:val="00D01117"/>
    <w:rsid w:val="00D02591"/>
    <w:rsid w:val="00D03B88"/>
    <w:rsid w:val="00D04B7C"/>
    <w:rsid w:val="00D04C34"/>
    <w:rsid w:val="00D06E6A"/>
    <w:rsid w:val="00D07FCC"/>
    <w:rsid w:val="00D1416A"/>
    <w:rsid w:val="00D14763"/>
    <w:rsid w:val="00D14AE8"/>
    <w:rsid w:val="00D162BC"/>
    <w:rsid w:val="00D171F4"/>
    <w:rsid w:val="00D17B90"/>
    <w:rsid w:val="00D20F17"/>
    <w:rsid w:val="00D214FE"/>
    <w:rsid w:val="00D238DF"/>
    <w:rsid w:val="00D245D1"/>
    <w:rsid w:val="00D2575D"/>
    <w:rsid w:val="00D27C1D"/>
    <w:rsid w:val="00D308C6"/>
    <w:rsid w:val="00D30ADD"/>
    <w:rsid w:val="00D31572"/>
    <w:rsid w:val="00D32ACC"/>
    <w:rsid w:val="00D32D82"/>
    <w:rsid w:val="00D34649"/>
    <w:rsid w:val="00D35320"/>
    <w:rsid w:val="00D40000"/>
    <w:rsid w:val="00D40F72"/>
    <w:rsid w:val="00D4137B"/>
    <w:rsid w:val="00D4222C"/>
    <w:rsid w:val="00D42EE6"/>
    <w:rsid w:val="00D44995"/>
    <w:rsid w:val="00D45622"/>
    <w:rsid w:val="00D466FE"/>
    <w:rsid w:val="00D51E4E"/>
    <w:rsid w:val="00D5391E"/>
    <w:rsid w:val="00D57BD3"/>
    <w:rsid w:val="00D57ECF"/>
    <w:rsid w:val="00D611EF"/>
    <w:rsid w:val="00D62352"/>
    <w:rsid w:val="00D635CF"/>
    <w:rsid w:val="00D64020"/>
    <w:rsid w:val="00D65F0C"/>
    <w:rsid w:val="00D662A4"/>
    <w:rsid w:val="00D669E2"/>
    <w:rsid w:val="00D676BD"/>
    <w:rsid w:val="00D6775D"/>
    <w:rsid w:val="00D7025B"/>
    <w:rsid w:val="00D70A2D"/>
    <w:rsid w:val="00D71A74"/>
    <w:rsid w:val="00D74C55"/>
    <w:rsid w:val="00D74D17"/>
    <w:rsid w:val="00D76177"/>
    <w:rsid w:val="00D769C7"/>
    <w:rsid w:val="00D76DE0"/>
    <w:rsid w:val="00D77165"/>
    <w:rsid w:val="00D778CB"/>
    <w:rsid w:val="00D82178"/>
    <w:rsid w:val="00D824AF"/>
    <w:rsid w:val="00D843C6"/>
    <w:rsid w:val="00D87447"/>
    <w:rsid w:val="00D90B0F"/>
    <w:rsid w:val="00D90CCE"/>
    <w:rsid w:val="00D92B50"/>
    <w:rsid w:val="00D92BFF"/>
    <w:rsid w:val="00D936DA"/>
    <w:rsid w:val="00D93E8A"/>
    <w:rsid w:val="00D956A1"/>
    <w:rsid w:val="00D96060"/>
    <w:rsid w:val="00D970E4"/>
    <w:rsid w:val="00DA1140"/>
    <w:rsid w:val="00DA2D3F"/>
    <w:rsid w:val="00DA2DAB"/>
    <w:rsid w:val="00DA404B"/>
    <w:rsid w:val="00DA513A"/>
    <w:rsid w:val="00DA5691"/>
    <w:rsid w:val="00DB023D"/>
    <w:rsid w:val="00DB04EA"/>
    <w:rsid w:val="00DB421D"/>
    <w:rsid w:val="00DB44AD"/>
    <w:rsid w:val="00DB452C"/>
    <w:rsid w:val="00DB4BB7"/>
    <w:rsid w:val="00DB4E5A"/>
    <w:rsid w:val="00DB5785"/>
    <w:rsid w:val="00DB58E9"/>
    <w:rsid w:val="00DB5B49"/>
    <w:rsid w:val="00DB6F07"/>
    <w:rsid w:val="00DC13BD"/>
    <w:rsid w:val="00DC255E"/>
    <w:rsid w:val="00DC2FDC"/>
    <w:rsid w:val="00DC333F"/>
    <w:rsid w:val="00DC373A"/>
    <w:rsid w:val="00DC567C"/>
    <w:rsid w:val="00DC58CC"/>
    <w:rsid w:val="00DC720A"/>
    <w:rsid w:val="00DC763A"/>
    <w:rsid w:val="00DD39FD"/>
    <w:rsid w:val="00DD610B"/>
    <w:rsid w:val="00DD6735"/>
    <w:rsid w:val="00DD6990"/>
    <w:rsid w:val="00DD6E27"/>
    <w:rsid w:val="00DD7FA3"/>
    <w:rsid w:val="00DE1248"/>
    <w:rsid w:val="00DE7967"/>
    <w:rsid w:val="00DF5E22"/>
    <w:rsid w:val="00DF708A"/>
    <w:rsid w:val="00E002C6"/>
    <w:rsid w:val="00E00E95"/>
    <w:rsid w:val="00E010A7"/>
    <w:rsid w:val="00E01C3A"/>
    <w:rsid w:val="00E0426F"/>
    <w:rsid w:val="00E045F3"/>
    <w:rsid w:val="00E04A5D"/>
    <w:rsid w:val="00E07478"/>
    <w:rsid w:val="00E0771C"/>
    <w:rsid w:val="00E10036"/>
    <w:rsid w:val="00E12848"/>
    <w:rsid w:val="00E14DF7"/>
    <w:rsid w:val="00E16392"/>
    <w:rsid w:val="00E16696"/>
    <w:rsid w:val="00E16B6D"/>
    <w:rsid w:val="00E17A7B"/>
    <w:rsid w:val="00E21433"/>
    <w:rsid w:val="00E24D05"/>
    <w:rsid w:val="00E26606"/>
    <w:rsid w:val="00E26997"/>
    <w:rsid w:val="00E30BAD"/>
    <w:rsid w:val="00E30D70"/>
    <w:rsid w:val="00E310A8"/>
    <w:rsid w:val="00E31B70"/>
    <w:rsid w:val="00E31EB2"/>
    <w:rsid w:val="00E32A11"/>
    <w:rsid w:val="00E355D6"/>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57073"/>
    <w:rsid w:val="00E60E52"/>
    <w:rsid w:val="00E636A9"/>
    <w:rsid w:val="00E63787"/>
    <w:rsid w:val="00E644AB"/>
    <w:rsid w:val="00E65032"/>
    <w:rsid w:val="00E65AB4"/>
    <w:rsid w:val="00E65E2F"/>
    <w:rsid w:val="00E6730C"/>
    <w:rsid w:val="00E67577"/>
    <w:rsid w:val="00E67CCD"/>
    <w:rsid w:val="00E73C01"/>
    <w:rsid w:val="00E753FF"/>
    <w:rsid w:val="00E7548E"/>
    <w:rsid w:val="00E759D5"/>
    <w:rsid w:val="00E76B0C"/>
    <w:rsid w:val="00E76EF3"/>
    <w:rsid w:val="00E806F4"/>
    <w:rsid w:val="00E8087D"/>
    <w:rsid w:val="00E827D7"/>
    <w:rsid w:val="00E83BDF"/>
    <w:rsid w:val="00E83C63"/>
    <w:rsid w:val="00E84791"/>
    <w:rsid w:val="00E876EF"/>
    <w:rsid w:val="00E9376A"/>
    <w:rsid w:val="00E948BA"/>
    <w:rsid w:val="00E9595A"/>
    <w:rsid w:val="00E9712C"/>
    <w:rsid w:val="00EA3003"/>
    <w:rsid w:val="00EA3B88"/>
    <w:rsid w:val="00EA3D03"/>
    <w:rsid w:val="00EA543B"/>
    <w:rsid w:val="00EA5E3F"/>
    <w:rsid w:val="00EA648B"/>
    <w:rsid w:val="00EA6CCD"/>
    <w:rsid w:val="00EA7896"/>
    <w:rsid w:val="00EA7C74"/>
    <w:rsid w:val="00EB1336"/>
    <w:rsid w:val="00EB4C81"/>
    <w:rsid w:val="00EB7CA8"/>
    <w:rsid w:val="00EC0D6C"/>
    <w:rsid w:val="00EC1867"/>
    <w:rsid w:val="00EC1BDA"/>
    <w:rsid w:val="00EC2695"/>
    <w:rsid w:val="00EC3CE0"/>
    <w:rsid w:val="00EC4DB6"/>
    <w:rsid w:val="00EC4EBC"/>
    <w:rsid w:val="00EC5989"/>
    <w:rsid w:val="00EC5C1B"/>
    <w:rsid w:val="00ED0FDF"/>
    <w:rsid w:val="00ED39C9"/>
    <w:rsid w:val="00ED51A3"/>
    <w:rsid w:val="00ED51C9"/>
    <w:rsid w:val="00ED5304"/>
    <w:rsid w:val="00EE004B"/>
    <w:rsid w:val="00EE1B68"/>
    <w:rsid w:val="00EE4B6A"/>
    <w:rsid w:val="00EE5E78"/>
    <w:rsid w:val="00EE6F09"/>
    <w:rsid w:val="00EE7236"/>
    <w:rsid w:val="00EE7887"/>
    <w:rsid w:val="00EF2F4D"/>
    <w:rsid w:val="00EF39FF"/>
    <w:rsid w:val="00EF3D5C"/>
    <w:rsid w:val="00EF6424"/>
    <w:rsid w:val="00EF6562"/>
    <w:rsid w:val="00EF6AE0"/>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4417"/>
    <w:rsid w:val="00F355EC"/>
    <w:rsid w:val="00F35E5D"/>
    <w:rsid w:val="00F377D0"/>
    <w:rsid w:val="00F37B52"/>
    <w:rsid w:val="00F4090E"/>
    <w:rsid w:val="00F40D46"/>
    <w:rsid w:val="00F41512"/>
    <w:rsid w:val="00F41818"/>
    <w:rsid w:val="00F43F68"/>
    <w:rsid w:val="00F44560"/>
    <w:rsid w:val="00F4496A"/>
    <w:rsid w:val="00F4515A"/>
    <w:rsid w:val="00F45509"/>
    <w:rsid w:val="00F45E2D"/>
    <w:rsid w:val="00F50812"/>
    <w:rsid w:val="00F54905"/>
    <w:rsid w:val="00F567A5"/>
    <w:rsid w:val="00F57268"/>
    <w:rsid w:val="00F61056"/>
    <w:rsid w:val="00F6203E"/>
    <w:rsid w:val="00F65EC6"/>
    <w:rsid w:val="00F6726B"/>
    <w:rsid w:val="00F70A90"/>
    <w:rsid w:val="00F718EA"/>
    <w:rsid w:val="00F74924"/>
    <w:rsid w:val="00F8080A"/>
    <w:rsid w:val="00F80EB4"/>
    <w:rsid w:val="00F82468"/>
    <w:rsid w:val="00F825AB"/>
    <w:rsid w:val="00F826EF"/>
    <w:rsid w:val="00F83629"/>
    <w:rsid w:val="00F847F5"/>
    <w:rsid w:val="00F84E28"/>
    <w:rsid w:val="00F865AA"/>
    <w:rsid w:val="00F87493"/>
    <w:rsid w:val="00F9031C"/>
    <w:rsid w:val="00F90724"/>
    <w:rsid w:val="00F908B6"/>
    <w:rsid w:val="00F9118D"/>
    <w:rsid w:val="00F91D87"/>
    <w:rsid w:val="00F95E2B"/>
    <w:rsid w:val="00F968E1"/>
    <w:rsid w:val="00FA0A51"/>
    <w:rsid w:val="00FA2001"/>
    <w:rsid w:val="00FA34EF"/>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54C"/>
    <w:rsid w:val="00FC7F93"/>
    <w:rsid w:val="00FD183E"/>
    <w:rsid w:val="00FD18A4"/>
    <w:rsid w:val="00FD1BB6"/>
    <w:rsid w:val="00FD651B"/>
    <w:rsid w:val="00FD6583"/>
    <w:rsid w:val="00FD7A84"/>
    <w:rsid w:val="00FE071D"/>
    <w:rsid w:val="00FE0871"/>
    <w:rsid w:val="00FE0A3A"/>
    <w:rsid w:val="00FE143F"/>
    <w:rsid w:val="00FE4920"/>
    <w:rsid w:val="00FE5C88"/>
    <w:rsid w:val="00FE6D58"/>
    <w:rsid w:val="00FE6F4F"/>
    <w:rsid w:val="00FE7389"/>
    <w:rsid w:val="00FE7F4F"/>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s>
</file>

<file path=word/webSettings.xml><?xml version="1.0" encoding="utf-8"?>
<w:webSettings xmlns:r="http://schemas.openxmlformats.org/officeDocument/2006/relationships" xmlns:w="http://schemas.openxmlformats.org/wordprocessingml/2006/main">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package" Target="embeddings/Microsoft_Office_Excel_Worksheet1.xlsx"/><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2.xls"/><Relationship Id="rId5" Type="http://schemas.openxmlformats.org/officeDocument/2006/relationships/footnotes" Target="footnotes.xml"/><Relationship Id="rId15" Type="http://schemas.openxmlformats.org/officeDocument/2006/relationships/oleObject" Target="embeddings/Microsoft_Office_Excel_97-2003_Worksheet3.xls"/><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rsamalaysia.com/market/listed-companies/company-announcements/1114445"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8</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User</cp:lastModifiedBy>
  <cp:revision>20</cp:revision>
  <cp:lastPrinted>2012-04-20T08:57:00Z</cp:lastPrinted>
  <dcterms:created xsi:type="dcterms:W3CDTF">2013-07-18T08:56:00Z</dcterms:created>
  <dcterms:modified xsi:type="dcterms:W3CDTF">2013-08-02T02:21:00Z</dcterms:modified>
</cp:coreProperties>
</file>